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4FA" w:rsidRPr="002534FA" w:rsidRDefault="00A83827" w:rsidP="002534FA">
      <w:pPr>
        <w:jc w:val="center"/>
        <w:rPr>
          <w:rFonts w:ascii="Garamond" w:hAnsi="Garamond" w:cs="Times New Roman"/>
          <w:b/>
          <w:sz w:val="28"/>
          <w:szCs w:val="28"/>
        </w:rPr>
      </w:pPr>
      <w:r w:rsidRPr="002534FA">
        <w:rPr>
          <w:rFonts w:ascii="Garamond" w:hAnsi="Garamond" w:cs="Times New Roman"/>
          <w:b/>
          <w:sz w:val="28"/>
          <w:szCs w:val="28"/>
          <w:u w:val="single"/>
        </w:rPr>
        <w:t>New Mexico Narrative Report</w:t>
      </w:r>
      <w:r w:rsidR="00465E62" w:rsidRPr="002534FA">
        <w:rPr>
          <w:rFonts w:ascii="Garamond" w:hAnsi="Garamond" w:cs="Times New Roman"/>
          <w:b/>
          <w:sz w:val="28"/>
          <w:szCs w:val="28"/>
        </w:rPr>
        <w:t>:</w:t>
      </w:r>
      <w:r w:rsidR="002534FA" w:rsidRPr="002534FA">
        <w:rPr>
          <w:rFonts w:ascii="Garamond" w:hAnsi="Garamond" w:cs="Times New Roman"/>
          <w:b/>
          <w:sz w:val="28"/>
          <w:szCs w:val="28"/>
        </w:rPr>
        <w:t xml:space="preserve"> </w:t>
      </w:r>
    </w:p>
    <w:p w:rsidR="002534FA" w:rsidRPr="002534FA" w:rsidRDefault="002534FA" w:rsidP="002534FA">
      <w:pPr>
        <w:jc w:val="center"/>
        <w:rPr>
          <w:rFonts w:ascii="Garamond" w:hAnsi="Garamond" w:cs="Times New Roman"/>
          <w:b/>
          <w:sz w:val="24"/>
          <w:szCs w:val="20"/>
        </w:rPr>
      </w:pPr>
      <w:r>
        <w:rPr>
          <w:rFonts w:ascii="Garamond" w:hAnsi="Garamond" w:cs="Times New Roman"/>
          <w:b/>
          <w:sz w:val="24"/>
          <w:szCs w:val="20"/>
        </w:rPr>
        <w:t xml:space="preserve"> </w:t>
      </w:r>
      <w:r w:rsidR="00E035AB">
        <w:rPr>
          <w:rFonts w:ascii="Garamond" w:hAnsi="Garamond" w:cs="Times New Roman"/>
          <w:b/>
          <w:sz w:val="24"/>
          <w:szCs w:val="20"/>
        </w:rPr>
        <w:t>P</w:t>
      </w:r>
      <w:r w:rsidR="00465E62">
        <w:rPr>
          <w:rFonts w:ascii="Garamond" w:hAnsi="Garamond" w:cs="Times New Roman"/>
          <w:b/>
          <w:sz w:val="24"/>
          <w:szCs w:val="20"/>
        </w:rPr>
        <w:t xml:space="preserve">rogram Year </w:t>
      </w:r>
      <w:r w:rsidR="00DD6327">
        <w:rPr>
          <w:rFonts w:ascii="Garamond" w:hAnsi="Garamond" w:cs="Times New Roman"/>
          <w:b/>
          <w:sz w:val="24"/>
          <w:szCs w:val="20"/>
        </w:rPr>
        <w:t>2019</w:t>
      </w:r>
      <w:r w:rsidR="00DB5572">
        <w:rPr>
          <w:rFonts w:ascii="Garamond" w:hAnsi="Garamond" w:cs="Times New Roman"/>
          <w:b/>
          <w:sz w:val="24"/>
          <w:szCs w:val="20"/>
        </w:rPr>
        <w:t>/</w:t>
      </w:r>
      <w:r w:rsidR="00DD6327">
        <w:rPr>
          <w:rFonts w:ascii="Garamond" w:hAnsi="Garamond" w:cs="Times New Roman"/>
          <w:b/>
          <w:sz w:val="24"/>
          <w:szCs w:val="20"/>
        </w:rPr>
        <w:t>2020</w:t>
      </w:r>
    </w:p>
    <w:p w:rsidR="00952D3B" w:rsidRPr="002534FA" w:rsidRDefault="00A83827" w:rsidP="00952D3B">
      <w:pPr>
        <w:spacing w:after="120"/>
        <w:rPr>
          <w:rFonts w:ascii="Garamond" w:hAnsi="Garamond" w:cs="Times New Roman"/>
          <w:b/>
          <w:color w:val="000000"/>
          <w:sz w:val="24"/>
          <w:szCs w:val="20"/>
        </w:rPr>
      </w:pPr>
      <w:r w:rsidRPr="002534FA">
        <w:rPr>
          <w:rFonts w:ascii="Garamond" w:hAnsi="Garamond" w:cs="Times New Roman"/>
          <w:b/>
          <w:color w:val="000000"/>
          <w:sz w:val="24"/>
          <w:szCs w:val="20"/>
        </w:rPr>
        <w:t>Introduction</w:t>
      </w:r>
    </w:p>
    <w:p w:rsidR="00952D3B" w:rsidRDefault="00952D3B" w:rsidP="00952D3B">
      <w:pPr>
        <w:spacing w:after="120"/>
        <w:rPr>
          <w:rFonts w:ascii="Garamond" w:hAnsi="Garamond" w:cs="Times New Roman"/>
          <w:sz w:val="24"/>
          <w:szCs w:val="20"/>
        </w:rPr>
      </w:pPr>
      <w:r>
        <w:rPr>
          <w:rFonts w:ascii="Garamond" w:hAnsi="Garamond" w:cs="Times New Roman"/>
          <w:sz w:val="24"/>
          <w:szCs w:val="20"/>
        </w:rPr>
        <w:t xml:space="preserve">During </w:t>
      </w:r>
      <w:r w:rsidR="009E4939">
        <w:rPr>
          <w:rFonts w:ascii="Garamond" w:hAnsi="Garamond" w:cs="Times New Roman"/>
          <w:sz w:val="24"/>
          <w:szCs w:val="20"/>
        </w:rPr>
        <w:t>PY</w:t>
      </w:r>
      <w:r>
        <w:rPr>
          <w:rFonts w:ascii="Garamond" w:hAnsi="Garamond" w:cs="Times New Roman"/>
          <w:sz w:val="24"/>
          <w:szCs w:val="20"/>
        </w:rPr>
        <w:t xml:space="preserve"> 19</w:t>
      </w:r>
      <w:r w:rsidR="00DB5572">
        <w:rPr>
          <w:rFonts w:ascii="Garamond" w:hAnsi="Garamond" w:cs="Times New Roman"/>
          <w:sz w:val="24"/>
          <w:szCs w:val="20"/>
        </w:rPr>
        <w:t>/</w:t>
      </w:r>
      <w:r>
        <w:rPr>
          <w:rFonts w:ascii="Garamond" w:hAnsi="Garamond" w:cs="Times New Roman"/>
          <w:sz w:val="24"/>
          <w:szCs w:val="20"/>
        </w:rPr>
        <w:t xml:space="preserve">20, </w:t>
      </w:r>
      <w:r w:rsidR="009E4939">
        <w:rPr>
          <w:rFonts w:ascii="Garamond" w:hAnsi="Garamond" w:cs="Times New Roman"/>
          <w:sz w:val="24"/>
          <w:szCs w:val="20"/>
        </w:rPr>
        <w:t xml:space="preserve">the </w:t>
      </w:r>
      <w:r>
        <w:rPr>
          <w:rFonts w:ascii="Garamond" w:hAnsi="Garamond" w:cs="Times New Roman"/>
          <w:sz w:val="24"/>
          <w:szCs w:val="20"/>
        </w:rPr>
        <w:t xml:space="preserve">New Mexico </w:t>
      </w:r>
      <w:r w:rsidR="009E4939">
        <w:rPr>
          <w:rFonts w:ascii="Garamond" w:hAnsi="Garamond" w:cs="Times New Roman"/>
          <w:sz w:val="24"/>
          <w:szCs w:val="20"/>
        </w:rPr>
        <w:t xml:space="preserve">Higher Education Department’s Adult Education Division (NMHED-AE) </w:t>
      </w:r>
      <w:r>
        <w:rPr>
          <w:rFonts w:ascii="Garamond" w:hAnsi="Garamond" w:cs="Times New Roman"/>
          <w:sz w:val="24"/>
          <w:szCs w:val="20"/>
        </w:rPr>
        <w:t>w</w:t>
      </w:r>
      <w:r w:rsidR="00924D36">
        <w:rPr>
          <w:rFonts w:ascii="Garamond" w:hAnsi="Garamond" w:cs="Times New Roman"/>
          <w:sz w:val="24"/>
          <w:szCs w:val="20"/>
        </w:rPr>
        <w:t>as</w:t>
      </w:r>
      <w:r w:rsidRPr="00D83B68">
        <w:rPr>
          <w:rFonts w:ascii="Garamond" w:hAnsi="Garamond" w:cs="Times New Roman"/>
          <w:sz w:val="24"/>
          <w:szCs w:val="20"/>
        </w:rPr>
        <w:t xml:space="preserve"> funded </w:t>
      </w:r>
      <w:r>
        <w:rPr>
          <w:rFonts w:ascii="Garamond" w:hAnsi="Garamond" w:cs="Times New Roman"/>
          <w:sz w:val="24"/>
          <w:szCs w:val="20"/>
        </w:rPr>
        <w:t>by a state legislative appropriation</w:t>
      </w:r>
      <w:r w:rsidRPr="00D83B68">
        <w:rPr>
          <w:rFonts w:ascii="Garamond" w:hAnsi="Garamond" w:cs="Times New Roman"/>
          <w:sz w:val="24"/>
          <w:szCs w:val="20"/>
        </w:rPr>
        <w:t xml:space="preserve"> </w:t>
      </w:r>
      <w:r w:rsidRPr="006B20E9">
        <w:rPr>
          <w:rFonts w:ascii="Garamond" w:hAnsi="Garamond" w:cs="Times New Roman"/>
          <w:sz w:val="24"/>
          <w:szCs w:val="20"/>
        </w:rPr>
        <w:t xml:space="preserve">of </w:t>
      </w:r>
      <w:r w:rsidRPr="002E2CE2">
        <w:rPr>
          <w:rFonts w:ascii="Garamond" w:hAnsi="Garamond" w:cs="Times New Roman"/>
          <w:sz w:val="24"/>
          <w:szCs w:val="20"/>
        </w:rPr>
        <w:t>$</w:t>
      </w:r>
      <w:r w:rsidR="005B6462" w:rsidRPr="002E2CE2">
        <w:rPr>
          <w:rFonts w:ascii="Garamond" w:hAnsi="Garamond" w:cs="Times New Roman"/>
          <w:sz w:val="24"/>
          <w:szCs w:val="20"/>
        </w:rPr>
        <w:t>6</w:t>
      </w:r>
      <w:r w:rsidRPr="002E2CE2">
        <w:rPr>
          <w:rFonts w:ascii="Garamond" w:hAnsi="Garamond" w:cs="Times New Roman"/>
          <w:sz w:val="24"/>
          <w:szCs w:val="20"/>
        </w:rPr>
        <w:t>,235,900</w:t>
      </w:r>
      <w:r>
        <w:rPr>
          <w:rFonts w:ascii="Garamond" w:hAnsi="Garamond" w:cs="Times New Roman"/>
          <w:sz w:val="24"/>
          <w:szCs w:val="20"/>
        </w:rPr>
        <w:t xml:space="preserve"> and </w:t>
      </w:r>
      <w:r w:rsidRPr="00D83B68">
        <w:rPr>
          <w:rFonts w:ascii="Garamond" w:hAnsi="Garamond" w:cs="Times New Roman"/>
          <w:sz w:val="24"/>
          <w:szCs w:val="20"/>
        </w:rPr>
        <w:t xml:space="preserve">by </w:t>
      </w:r>
      <w:r w:rsidR="00B54443">
        <w:rPr>
          <w:rFonts w:ascii="Garamond" w:hAnsi="Garamond" w:cs="Times New Roman"/>
          <w:sz w:val="24"/>
          <w:szCs w:val="20"/>
        </w:rPr>
        <w:t>a grant from the</w:t>
      </w:r>
      <w:r w:rsidRPr="00D83B68">
        <w:rPr>
          <w:rFonts w:ascii="Garamond" w:hAnsi="Garamond" w:cs="Times New Roman"/>
          <w:sz w:val="24"/>
          <w:szCs w:val="20"/>
        </w:rPr>
        <w:t xml:space="preserve"> U.S. Department of Education under the </w:t>
      </w:r>
      <w:r w:rsidR="0017788F">
        <w:rPr>
          <w:rFonts w:ascii="Garamond" w:hAnsi="Garamond" w:cs="Times New Roman"/>
          <w:sz w:val="24"/>
          <w:szCs w:val="20"/>
        </w:rPr>
        <w:t xml:space="preserve">Title II of the </w:t>
      </w:r>
      <w:r w:rsidRPr="00D83B68">
        <w:rPr>
          <w:rFonts w:ascii="Garamond" w:hAnsi="Garamond" w:cs="Times New Roman"/>
          <w:sz w:val="24"/>
          <w:szCs w:val="20"/>
        </w:rPr>
        <w:t>Workforce Innovation and Opportunity</w:t>
      </w:r>
      <w:r>
        <w:rPr>
          <w:rFonts w:ascii="Garamond" w:hAnsi="Garamond" w:cs="Times New Roman"/>
          <w:sz w:val="24"/>
          <w:szCs w:val="20"/>
        </w:rPr>
        <w:t xml:space="preserve"> </w:t>
      </w:r>
      <w:r w:rsidRPr="00D83B68">
        <w:rPr>
          <w:rFonts w:ascii="Garamond" w:hAnsi="Garamond" w:cs="Times New Roman"/>
          <w:sz w:val="24"/>
          <w:szCs w:val="20"/>
        </w:rPr>
        <w:t>Act</w:t>
      </w:r>
      <w:r w:rsidR="00FF6725">
        <w:rPr>
          <w:rFonts w:ascii="Garamond" w:hAnsi="Garamond" w:cs="Times New Roman"/>
          <w:sz w:val="24"/>
          <w:szCs w:val="20"/>
        </w:rPr>
        <w:t>--</w:t>
      </w:r>
      <w:r w:rsidR="00B54443">
        <w:rPr>
          <w:rFonts w:ascii="Garamond" w:hAnsi="Garamond" w:cs="Times New Roman"/>
          <w:sz w:val="24"/>
          <w:szCs w:val="20"/>
        </w:rPr>
        <w:t>the Adult Education and Family Literacy Act</w:t>
      </w:r>
      <w:r w:rsidR="00FF6725">
        <w:rPr>
          <w:rFonts w:ascii="Garamond" w:hAnsi="Garamond" w:cs="Times New Roman"/>
          <w:sz w:val="24"/>
          <w:szCs w:val="20"/>
        </w:rPr>
        <w:t xml:space="preserve">, or </w:t>
      </w:r>
      <w:r w:rsidR="00B54443">
        <w:rPr>
          <w:rFonts w:ascii="Garamond" w:hAnsi="Garamond" w:cs="Times New Roman"/>
          <w:sz w:val="24"/>
          <w:szCs w:val="20"/>
        </w:rPr>
        <w:t>AEFLA</w:t>
      </w:r>
      <w:r w:rsidR="00FF6725">
        <w:rPr>
          <w:rFonts w:ascii="Garamond" w:hAnsi="Garamond" w:cs="Times New Roman"/>
          <w:sz w:val="24"/>
          <w:szCs w:val="20"/>
        </w:rPr>
        <w:t>--</w:t>
      </w:r>
      <w:r>
        <w:rPr>
          <w:rFonts w:ascii="Garamond" w:hAnsi="Garamond" w:cs="Times New Roman"/>
          <w:sz w:val="24"/>
          <w:szCs w:val="20"/>
        </w:rPr>
        <w:t xml:space="preserve">in the amount </w:t>
      </w:r>
      <w:r w:rsidRPr="006B20E9">
        <w:rPr>
          <w:rFonts w:ascii="Garamond" w:hAnsi="Garamond" w:cs="Times New Roman"/>
          <w:sz w:val="24"/>
          <w:szCs w:val="20"/>
        </w:rPr>
        <w:t xml:space="preserve">of </w:t>
      </w:r>
      <w:r w:rsidRPr="002E2CE2">
        <w:rPr>
          <w:rFonts w:ascii="Garamond" w:hAnsi="Garamond" w:cs="Times New Roman"/>
          <w:sz w:val="24"/>
          <w:szCs w:val="20"/>
        </w:rPr>
        <w:t>$4,</w:t>
      </w:r>
      <w:r w:rsidR="005B6462" w:rsidRPr="002E2CE2">
        <w:rPr>
          <w:rFonts w:ascii="Garamond" w:hAnsi="Garamond" w:cs="Times New Roman"/>
          <w:sz w:val="24"/>
          <w:szCs w:val="20"/>
        </w:rPr>
        <w:t>153,357</w:t>
      </w:r>
      <w:r w:rsidRPr="006B20E9">
        <w:rPr>
          <w:rFonts w:ascii="Garamond" w:hAnsi="Garamond" w:cs="Times New Roman"/>
          <w:sz w:val="24"/>
          <w:szCs w:val="20"/>
        </w:rPr>
        <w:t xml:space="preserve"> and </w:t>
      </w:r>
      <w:r w:rsidR="002E2CE2" w:rsidRPr="002E2CE2">
        <w:rPr>
          <w:rFonts w:ascii="Garamond" w:hAnsi="Garamond" w:cs="Times New Roman"/>
          <w:sz w:val="24"/>
          <w:szCs w:val="20"/>
        </w:rPr>
        <w:t>$267,864</w:t>
      </w:r>
      <w:r w:rsidRPr="006E5C78">
        <w:rPr>
          <w:rFonts w:ascii="Garamond" w:hAnsi="Garamond" w:cs="Times New Roman"/>
          <w:sz w:val="24"/>
          <w:szCs w:val="20"/>
        </w:rPr>
        <w:t xml:space="preserve"> </w:t>
      </w:r>
      <w:r w:rsidRPr="006B20E9">
        <w:rPr>
          <w:rFonts w:ascii="Garamond" w:hAnsi="Garamond" w:cs="Times New Roman"/>
          <w:sz w:val="24"/>
          <w:szCs w:val="20"/>
        </w:rPr>
        <w:t>for</w:t>
      </w:r>
      <w:r>
        <w:rPr>
          <w:rFonts w:ascii="Garamond" w:hAnsi="Garamond" w:cs="Times New Roman"/>
          <w:sz w:val="24"/>
          <w:szCs w:val="20"/>
        </w:rPr>
        <w:t xml:space="preserve"> Integrated English Literacy and Civics Education (IELCE) under Section 243. </w:t>
      </w:r>
      <w:r w:rsidR="00B1077C">
        <w:rPr>
          <w:rFonts w:ascii="Garamond" w:hAnsi="Garamond" w:cs="Times New Roman"/>
          <w:sz w:val="24"/>
          <w:szCs w:val="20"/>
        </w:rPr>
        <w:t xml:space="preserve"> Note that the state appropriation </w:t>
      </w:r>
      <w:r w:rsidR="0084211A">
        <w:rPr>
          <w:rFonts w:ascii="Garamond" w:hAnsi="Garamond" w:cs="Times New Roman"/>
          <w:sz w:val="24"/>
          <w:szCs w:val="20"/>
        </w:rPr>
        <w:t xml:space="preserve">figure cited above </w:t>
      </w:r>
      <w:r w:rsidR="00B1077C">
        <w:rPr>
          <w:rFonts w:ascii="Garamond" w:hAnsi="Garamond" w:cs="Times New Roman"/>
          <w:sz w:val="24"/>
          <w:szCs w:val="20"/>
        </w:rPr>
        <w:t>reflects a</w:t>
      </w:r>
      <w:r w:rsidR="0084211A">
        <w:rPr>
          <w:rFonts w:ascii="Garamond" w:hAnsi="Garamond" w:cs="Times New Roman"/>
          <w:sz w:val="24"/>
          <w:szCs w:val="20"/>
        </w:rPr>
        <w:t xml:space="preserve"> </w:t>
      </w:r>
      <w:r w:rsidR="00E41D70">
        <w:rPr>
          <w:rFonts w:ascii="Garamond" w:hAnsi="Garamond" w:cs="Times New Roman"/>
          <w:sz w:val="24"/>
          <w:szCs w:val="20"/>
        </w:rPr>
        <w:t>substantial</w:t>
      </w:r>
      <w:r w:rsidR="00B1077C">
        <w:rPr>
          <w:rFonts w:ascii="Garamond" w:hAnsi="Garamond" w:cs="Times New Roman"/>
          <w:sz w:val="24"/>
          <w:szCs w:val="20"/>
        </w:rPr>
        <w:t xml:space="preserve"> increase over last year’s</w:t>
      </w:r>
      <w:r w:rsidR="00803B60">
        <w:rPr>
          <w:rFonts w:ascii="Garamond" w:hAnsi="Garamond" w:cs="Times New Roman"/>
          <w:sz w:val="24"/>
          <w:szCs w:val="20"/>
        </w:rPr>
        <w:t xml:space="preserve"> </w:t>
      </w:r>
      <w:r w:rsidR="006C4D52">
        <w:rPr>
          <w:rFonts w:ascii="Garamond" w:hAnsi="Garamond" w:cs="Times New Roman"/>
          <w:sz w:val="24"/>
          <w:szCs w:val="20"/>
        </w:rPr>
        <w:t xml:space="preserve">state </w:t>
      </w:r>
      <w:r w:rsidR="00AA080D">
        <w:rPr>
          <w:rFonts w:ascii="Garamond" w:hAnsi="Garamond" w:cs="Times New Roman"/>
          <w:sz w:val="24"/>
          <w:szCs w:val="20"/>
        </w:rPr>
        <w:t>allocation</w:t>
      </w:r>
      <w:r w:rsidR="006C4D52">
        <w:rPr>
          <w:rFonts w:ascii="Garamond" w:hAnsi="Garamond" w:cs="Times New Roman"/>
          <w:sz w:val="24"/>
          <w:szCs w:val="20"/>
        </w:rPr>
        <w:t xml:space="preserve"> to Adult Education</w:t>
      </w:r>
      <w:r w:rsidR="00B1077C">
        <w:rPr>
          <w:rFonts w:ascii="Garamond" w:hAnsi="Garamond" w:cs="Times New Roman"/>
          <w:sz w:val="24"/>
          <w:szCs w:val="20"/>
        </w:rPr>
        <w:t xml:space="preserve">, </w:t>
      </w:r>
      <w:r w:rsidR="00E41D70">
        <w:rPr>
          <w:rFonts w:ascii="Garamond" w:hAnsi="Garamond" w:cs="Times New Roman"/>
          <w:sz w:val="24"/>
          <w:szCs w:val="20"/>
        </w:rPr>
        <w:t xml:space="preserve">to the </w:t>
      </w:r>
      <w:r w:rsidR="00AA080D">
        <w:rPr>
          <w:rFonts w:ascii="Garamond" w:hAnsi="Garamond" w:cs="Times New Roman"/>
          <w:sz w:val="24"/>
          <w:szCs w:val="20"/>
        </w:rPr>
        <w:t xml:space="preserve">happy </w:t>
      </w:r>
      <w:r w:rsidR="00E41D70">
        <w:rPr>
          <w:rFonts w:ascii="Garamond" w:hAnsi="Garamond" w:cs="Times New Roman"/>
          <w:sz w:val="24"/>
          <w:szCs w:val="20"/>
        </w:rPr>
        <w:t xml:space="preserve">tune of $1,000,000.  This increase was in </w:t>
      </w:r>
      <w:r w:rsidR="00F53815">
        <w:rPr>
          <w:rFonts w:ascii="Garamond" w:hAnsi="Garamond" w:cs="Times New Roman"/>
          <w:sz w:val="24"/>
          <w:szCs w:val="20"/>
        </w:rPr>
        <w:t xml:space="preserve">some measure </w:t>
      </w:r>
      <w:r w:rsidR="00E41D70">
        <w:rPr>
          <w:rFonts w:ascii="Garamond" w:hAnsi="Garamond" w:cs="Times New Roman"/>
          <w:sz w:val="24"/>
          <w:szCs w:val="20"/>
        </w:rPr>
        <w:t>prompted by</w:t>
      </w:r>
      <w:r w:rsidR="00B1077C">
        <w:rPr>
          <w:rFonts w:ascii="Garamond" w:hAnsi="Garamond" w:cs="Times New Roman"/>
          <w:sz w:val="24"/>
          <w:szCs w:val="20"/>
        </w:rPr>
        <w:t xml:space="preserve"> </w:t>
      </w:r>
      <w:r w:rsidR="00F53815">
        <w:rPr>
          <w:rFonts w:ascii="Garamond" w:hAnsi="Garamond" w:cs="Times New Roman"/>
          <w:sz w:val="24"/>
          <w:szCs w:val="20"/>
        </w:rPr>
        <w:t xml:space="preserve">the passage of </w:t>
      </w:r>
      <w:r w:rsidR="00E41D70">
        <w:rPr>
          <w:rFonts w:ascii="Garamond" w:hAnsi="Garamond" w:cs="Times New Roman"/>
          <w:sz w:val="24"/>
          <w:szCs w:val="20"/>
        </w:rPr>
        <w:t>legislation that put a new age cap</w:t>
      </w:r>
      <w:r w:rsidR="00F53815">
        <w:rPr>
          <w:rFonts w:ascii="Garamond" w:hAnsi="Garamond" w:cs="Times New Roman"/>
          <w:sz w:val="24"/>
          <w:szCs w:val="20"/>
        </w:rPr>
        <w:t xml:space="preserve"> on the use of secondary education system dollars in New Mexico</w:t>
      </w:r>
      <w:r w:rsidR="00885570">
        <w:rPr>
          <w:rFonts w:ascii="Garamond" w:hAnsi="Garamond" w:cs="Times New Roman"/>
          <w:sz w:val="24"/>
          <w:szCs w:val="20"/>
        </w:rPr>
        <w:t>, affecting</w:t>
      </w:r>
      <w:r w:rsidR="002F3BE5">
        <w:rPr>
          <w:rFonts w:ascii="Garamond" w:hAnsi="Garamond" w:cs="Times New Roman"/>
          <w:sz w:val="24"/>
          <w:szCs w:val="20"/>
        </w:rPr>
        <w:t xml:space="preserve"> </w:t>
      </w:r>
      <w:r w:rsidR="00AA080D">
        <w:rPr>
          <w:rFonts w:ascii="Garamond" w:hAnsi="Garamond" w:cs="Times New Roman"/>
          <w:sz w:val="24"/>
          <w:szCs w:val="20"/>
        </w:rPr>
        <w:t>a handful of</w:t>
      </w:r>
      <w:r w:rsidR="002F3BE5">
        <w:rPr>
          <w:rFonts w:ascii="Garamond" w:hAnsi="Garamond" w:cs="Times New Roman"/>
          <w:sz w:val="24"/>
          <w:szCs w:val="20"/>
        </w:rPr>
        <w:t xml:space="preserve"> charter schools which served adults</w:t>
      </w:r>
      <w:r w:rsidR="00885570">
        <w:rPr>
          <w:rFonts w:ascii="Garamond" w:hAnsi="Garamond" w:cs="Times New Roman"/>
          <w:sz w:val="24"/>
          <w:szCs w:val="20"/>
        </w:rPr>
        <w:t>.</w:t>
      </w:r>
      <w:r w:rsidR="00E41D70">
        <w:rPr>
          <w:rFonts w:ascii="Garamond" w:hAnsi="Garamond" w:cs="Times New Roman"/>
          <w:sz w:val="24"/>
          <w:szCs w:val="20"/>
        </w:rPr>
        <w:t xml:space="preserve"> </w:t>
      </w:r>
      <w:r w:rsidR="004A14FA">
        <w:rPr>
          <w:rFonts w:ascii="Garamond" w:hAnsi="Garamond" w:cs="Times New Roman"/>
          <w:sz w:val="24"/>
          <w:szCs w:val="20"/>
        </w:rPr>
        <w:t>Also contributing were strong</w:t>
      </w:r>
      <w:r w:rsidR="00AD6792">
        <w:rPr>
          <w:rFonts w:ascii="Garamond" w:hAnsi="Garamond" w:cs="Times New Roman"/>
          <w:sz w:val="24"/>
          <w:szCs w:val="20"/>
        </w:rPr>
        <w:t xml:space="preserve"> advocacy</w:t>
      </w:r>
      <w:r w:rsidR="00F53815">
        <w:rPr>
          <w:rFonts w:ascii="Garamond" w:hAnsi="Garamond" w:cs="Times New Roman"/>
          <w:sz w:val="24"/>
          <w:szCs w:val="20"/>
        </w:rPr>
        <w:t>, education, and</w:t>
      </w:r>
      <w:r w:rsidR="00AD6792">
        <w:rPr>
          <w:rFonts w:ascii="Garamond" w:hAnsi="Garamond" w:cs="Times New Roman"/>
          <w:sz w:val="24"/>
          <w:szCs w:val="20"/>
        </w:rPr>
        <w:t xml:space="preserve"> outreach efforts on the part of many to</w:t>
      </w:r>
      <w:r w:rsidR="00F53815">
        <w:rPr>
          <w:rFonts w:ascii="Garamond" w:hAnsi="Garamond" w:cs="Times New Roman"/>
          <w:sz w:val="24"/>
          <w:szCs w:val="20"/>
        </w:rPr>
        <w:t xml:space="preserve"> encourage lawmakers and leaders to </w:t>
      </w:r>
      <w:r w:rsidR="00AD6792">
        <w:rPr>
          <w:rFonts w:ascii="Garamond" w:hAnsi="Garamond" w:cs="Times New Roman"/>
          <w:sz w:val="24"/>
          <w:szCs w:val="20"/>
        </w:rPr>
        <w:t xml:space="preserve">more fully </w:t>
      </w:r>
      <w:r w:rsidR="00957F66">
        <w:rPr>
          <w:rFonts w:ascii="Garamond" w:hAnsi="Garamond" w:cs="Times New Roman"/>
          <w:sz w:val="24"/>
          <w:szCs w:val="20"/>
        </w:rPr>
        <w:t xml:space="preserve">support </w:t>
      </w:r>
      <w:r w:rsidR="004A14FA">
        <w:rPr>
          <w:rFonts w:ascii="Garamond" w:hAnsi="Garamond" w:cs="Times New Roman"/>
          <w:sz w:val="24"/>
          <w:szCs w:val="20"/>
        </w:rPr>
        <w:t>Adult Education’s</w:t>
      </w:r>
      <w:r w:rsidR="00957F66">
        <w:rPr>
          <w:rFonts w:ascii="Garamond" w:hAnsi="Garamond" w:cs="Times New Roman"/>
          <w:sz w:val="24"/>
          <w:szCs w:val="20"/>
        </w:rPr>
        <w:t xml:space="preserve"> critical role in</w:t>
      </w:r>
      <w:r w:rsidR="00AD6792">
        <w:rPr>
          <w:rFonts w:ascii="Garamond" w:hAnsi="Garamond" w:cs="Times New Roman"/>
          <w:sz w:val="24"/>
          <w:szCs w:val="20"/>
        </w:rPr>
        <w:t xml:space="preserve"> </w:t>
      </w:r>
      <w:r w:rsidR="00EF2E08">
        <w:rPr>
          <w:rFonts w:ascii="Garamond" w:hAnsi="Garamond" w:cs="Times New Roman"/>
          <w:sz w:val="24"/>
          <w:szCs w:val="20"/>
        </w:rPr>
        <w:t>the state workforce system</w:t>
      </w:r>
      <w:r w:rsidR="00F53815">
        <w:rPr>
          <w:rFonts w:ascii="Garamond" w:hAnsi="Garamond" w:cs="Times New Roman"/>
          <w:sz w:val="24"/>
          <w:szCs w:val="20"/>
        </w:rPr>
        <w:t>.</w:t>
      </w:r>
      <w:r w:rsidR="00FE572B">
        <w:rPr>
          <w:rFonts w:ascii="Garamond" w:hAnsi="Garamond" w:cs="Times New Roman"/>
          <w:sz w:val="24"/>
          <w:szCs w:val="20"/>
        </w:rPr>
        <w:t xml:space="preserve">  </w:t>
      </w:r>
      <w:r w:rsidR="00F53815">
        <w:rPr>
          <w:rFonts w:ascii="Garamond" w:hAnsi="Garamond" w:cs="Times New Roman"/>
          <w:sz w:val="24"/>
          <w:szCs w:val="20"/>
        </w:rPr>
        <w:t>I</w:t>
      </w:r>
      <w:r w:rsidR="00FE572B">
        <w:rPr>
          <w:rFonts w:ascii="Garamond" w:hAnsi="Garamond" w:cs="Times New Roman"/>
          <w:sz w:val="24"/>
          <w:szCs w:val="20"/>
        </w:rPr>
        <w:t>n New Mexico and natio</w:t>
      </w:r>
      <w:r w:rsidR="00803B60">
        <w:rPr>
          <w:rFonts w:ascii="Garamond" w:hAnsi="Garamond" w:cs="Times New Roman"/>
          <w:sz w:val="24"/>
          <w:szCs w:val="20"/>
        </w:rPr>
        <w:t>nwide</w:t>
      </w:r>
      <w:r w:rsidR="00FE572B">
        <w:rPr>
          <w:rFonts w:ascii="Garamond" w:hAnsi="Garamond" w:cs="Times New Roman"/>
          <w:sz w:val="24"/>
          <w:szCs w:val="20"/>
        </w:rPr>
        <w:t>,</w:t>
      </w:r>
      <w:r w:rsidR="00AD6792">
        <w:rPr>
          <w:rFonts w:ascii="Garamond" w:hAnsi="Garamond" w:cs="Times New Roman"/>
          <w:sz w:val="24"/>
          <w:szCs w:val="20"/>
        </w:rPr>
        <w:t xml:space="preserve"> </w:t>
      </w:r>
      <w:r w:rsidR="0084211A">
        <w:rPr>
          <w:rFonts w:ascii="Garamond" w:hAnsi="Garamond" w:cs="Times New Roman"/>
          <w:sz w:val="24"/>
          <w:szCs w:val="20"/>
        </w:rPr>
        <w:t>Adult Education is increasingly being recognized as</w:t>
      </w:r>
      <w:r w:rsidR="00302FA2">
        <w:rPr>
          <w:rFonts w:ascii="Garamond" w:hAnsi="Garamond" w:cs="Times New Roman"/>
          <w:sz w:val="24"/>
          <w:szCs w:val="20"/>
        </w:rPr>
        <w:t xml:space="preserve"> both </w:t>
      </w:r>
      <w:r w:rsidR="0084211A">
        <w:rPr>
          <w:rFonts w:ascii="Garamond" w:hAnsi="Garamond" w:cs="Times New Roman"/>
          <w:sz w:val="24"/>
          <w:szCs w:val="20"/>
        </w:rPr>
        <w:t xml:space="preserve">the important public service and the robust economic catalyst it </w:t>
      </w:r>
      <w:r w:rsidR="00AD6792">
        <w:rPr>
          <w:rFonts w:ascii="Garamond" w:hAnsi="Garamond" w:cs="Times New Roman"/>
          <w:sz w:val="24"/>
          <w:szCs w:val="20"/>
        </w:rPr>
        <w:t>has always been</w:t>
      </w:r>
      <w:r w:rsidR="00E41D70">
        <w:rPr>
          <w:rFonts w:ascii="Garamond" w:hAnsi="Garamond" w:cs="Times New Roman"/>
          <w:sz w:val="24"/>
          <w:szCs w:val="20"/>
        </w:rPr>
        <w:t xml:space="preserve">, and we </w:t>
      </w:r>
      <w:r w:rsidR="009A132A">
        <w:rPr>
          <w:rFonts w:ascii="Garamond" w:hAnsi="Garamond" w:cs="Times New Roman"/>
          <w:sz w:val="24"/>
          <w:szCs w:val="20"/>
        </w:rPr>
        <w:t>we</w:t>
      </w:r>
      <w:r w:rsidR="00E41D70">
        <w:rPr>
          <w:rFonts w:ascii="Garamond" w:hAnsi="Garamond" w:cs="Times New Roman"/>
          <w:sz w:val="24"/>
          <w:szCs w:val="20"/>
        </w:rPr>
        <w:t xml:space="preserve">re thrilled to see this recognition translate into </w:t>
      </w:r>
      <w:r w:rsidR="004C5CF8">
        <w:rPr>
          <w:rFonts w:ascii="Garamond" w:hAnsi="Garamond" w:cs="Times New Roman"/>
          <w:sz w:val="24"/>
          <w:szCs w:val="20"/>
        </w:rPr>
        <w:t xml:space="preserve">more </w:t>
      </w:r>
      <w:r w:rsidR="00E41D70">
        <w:rPr>
          <w:rFonts w:ascii="Garamond" w:hAnsi="Garamond" w:cs="Times New Roman"/>
          <w:sz w:val="24"/>
          <w:szCs w:val="20"/>
        </w:rPr>
        <w:t xml:space="preserve">financial support </w:t>
      </w:r>
      <w:r w:rsidR="007D005C">
        <w:rPr>
          <w:rFonts w:ascii="Garamond" w:hAnsi="Garamond" w:cs="Times New Roman"/>
          <w:sz w:val="24"/>
          <w:szCs w:val="20"/>
        </w:rPr>
        <w:t xml:space="preserve">for Adult Education </w:t>
      </w:r>
      <w:r w:rsidR="00E41D70">
        <w:rPr>
          <w:rFonts w:ascii="Garamond" w:hAnsi="Garamond" w:cs="Times New Roman"/>
          <w:sz w:val="24"/>
          <w:szCs w:val="20"/>
        </w:rPr>
        <w:t xml:space="preserve">in </w:t>
      </w:r>
      <w:r w:rsidR="00837990">
        <w:rPr>
          <w:rFonts w:ascii="Garamond" w:hAnsi="Garamond" w:cs="Times New Roman"/>
          <w:sz w:val="24"/>
          <w:szCs w:val="20"/>
        </w:rPr>
        <w:t>New Mexico</w:t>
      </w:r>
      <w:r w:rsidR="00E41D70">
        <w:rPr>
          <w:rFonts w:ascii="Garamond" w:hAnsi="Garamond" w:cs="Times New Roman"/>
          <w:sz w:val="24"/>
          <w:szCs w:val="20"/>
        </w:rPr>
        <w:t>.</w:t>
      </w:r>
      <w:r w:rsidR="004A14FA">
        <w:rPr>
          <w:rFonts w:ascii="Garamond" w:hAnsi="Garamond" w:cs="Times New Roman"/>
          <w:sz w:val="24"/>
          <w:szCs w:val="20"/>
        </w:rPr>
        <w:t xml:space="preserve">  Increased funding allowed for higher allocations to local AE programs and for investment in several key state-sponsored initiatives we will highlight in this narrative report.</w:t>
      </w:r>
    </w:p>
    <w:p w:rsidR="00DD227A" w:rsidRDefault="005B5575" w:rsidP="00952D3B">
      <w:pPr>
        <w:spacing w:after="120"/>
        <w:rPr>
          <w:rFonts w:ascii="Garamond" w:hAnsi="Garamond" w:cs="Times New Roman"/>
          <w:sz w:val="24"/>
          <w:szCs w:val="20"/>
        </w:rPr>
      </w:pPr>
      <w:r>
        <w:rPr>
          <w:rFonts w:ascii="Garamond" w:hAnsi="Garamond" w:cs="Times New Roman"/>
          <w:sz w:val="24"/>
          <w:szCs w:val="20"/>
        </w:rPr>
        <w:t>A</w:t>
      </w:r>
      <w:r w:rsidR="00341300">
        <w:rPr>
          <w:rFonts w:ascii="Garamond" w:hAnsi="Garamond" w:cs="Times New Roman"/>
          <w:sz w:val="24"/>
          <w:szCs w:val="20"/>
        </w:rPr>
        <w:t xml:space="preserve"> staff of 4.5</w:t>
      </w:r>
      <w:r w:rsidR="009E7080">
        <w:rPr>
          <w:rFonts w:ascii="Garamond" w:hAnsi="Garamond" w:cs="Times New Roman"/>
          <w:sz w:val="24"/>
          <w:szCs w:val="20"/>
        </w:rPr>
        <w:t xml:space="preserve"> FTE</w:t>
      </w:r>
      <w:r w:rsidR="00341300">
        <w:rPr>
          <w:rFonts w:ascii="Garamond" w:hAnsi="Garamond" w:cs="Times New Roman"/>
          <w:sz w:val="24"/>
          <w:szCs w:val="20"/>
        </w:rPr>
        <w:t xml:space="preserve"> </w:t>
      </w:r>
      <w:r w:rsidR="00612487">
        <w:rPr>
          <w:rFonts w:ascii="Garamond" w:hAnsi="Garamond" w:cs="Times New Roman"/>
          <w:sz w:val="24"/>
          <w:szCs w:val="20"/>
        </w:rPr>
        <w:t>was responsible for overseeing</w:t>
      </w:r>
      <w:r w:rsidR="00341300">
        <w:rPr>
          <w:rFonts w:ascii="Garamond" w:hAnsi="Garamond" w:cs="Times New Roman"/>
          <w:sz w:val="24"/>
          <w:szCs w:val="20"/>
        </w:rPr>
        <w:t xml:space="preserve"> all NM</w:t>
      </w:r>
      <w:r w:rsidR="00924D36">
        <w:rPr>
          <w:rFonts w:ascii="Garamond" w:hAnsi="Garamond" w:cs="Times New Roman"/>
          <w:sz w:val="24"/>
          <w:szCs w:val="20"/>
        </w:rPr>
        <w:t>HED-AE</w:t>
      </w:r>
      <w:r w:rsidR="00341300">
        <w:rPr>
          <w:rFonts w:ascii="Garamond" w:hAnsi="Garamond" w:cs="Times New Roman"/>
          <w:sz w:val="24"/>
          <w:szCs w:val="20"/>
        </w:rPr>
        <w:t xml:space="preserve"> operations and </w:t>
      </w:r>
      <w:r w:rsidR="003F30FD">
        <w:rPr>
          <w:rFonts w:ascii="Garamond" w:hAnsi="Garamond" w:cs="Times New Roman"/>
          <w:sz w:val="24"/>
          <w:szCs w:val="20"/>
        </w:rPr>
        <w:t>activities</w:t>
      </w:r>
      <w:r w:rsidR="00AD6792">
        <w:rPr>
          <w:rFonts w:ascii="Garamond" w:hAnsi="Garamond" w:cs="Times New Roman"/>
          <w:sz w:val="24"/>
          <w:szCs w:val="20"/>
        </w:rPr>
        <w:t xml:space="preserve"> in PY 19</w:t>
      </w:r>
      <w:r w:rsidR="00B91329">
        <w:rPr>
          <w:rFonts w:ascii="Garamond" w:hAnsi="Garamond" w:cs="Times New Roman"/>
          <w:sz w:val="24"/>
          <w:szCs w:val="20"/>
        </w:rPr>
        <w:t>/</w:t>
      </w:r>
      <w:r w:rsidR="00AD6792">
        <w:rPr>
          <w:rFonts w:ascii="Garamond" w:hAnsi="Garamond" w:cs="Times New Roman"/>
          <w:sz w:val="24"/>
          <w:szCs w:val="20"/>
        </w:rPr>
        <w:t>20</w:t>
      </w:r>
      <w:r w:rsidR="00341300">
        <w:rPr>
          <w:rFonts w:ascii="Garamond" w:hAnsi="Garamond" w:cs="Times New Roman"/>
          <w:sz w:val="24"/>
          <w:szCs w:val="20"/>
        </w:rPr>
        <w:t>, including</w:t>
      </w:r>
      <w:r>
        <w:rPr>
          <w:rFonts w:ascii="Garamond" w:hAnsi="Garamond" w:cs="Times New Roman"/>
          <w:sz w:val="24"/>
          <w:szCs w:val="20"/>
        </w:rPr>
        <w:t>:  (1)</w:t>
      </w:r>
      <w:r w:rsidR="00AD6792">
        <w:rPr>
          <w:rFonts w:ascii="Garamond" w:hAnsi="Garamond" w:cs="Times New Roman"/>
          <w:sz w:val="24"/>
          <w:szCs w:val="20"/>
        </w:rPr>
        <w:t xml:space="preserve"> </w:t>
      </w:r>
      <w:r>
        <w:rPr>
          <w:rFonts w:ascii="Garamond" w:hAnsi="Garamond" w:cs="Times New Roman"/>
          <w:sz w:val="24"/>
          <w:szCs w:val="20"/>
        </w:rPr>
        <w:t>M</w:t>
      </w:r>
      <w:r w:rsidR="00341300">
        <w:rPr>
          <w:rFonts w:ascii="Garamond" w:hAnsi="Garamond" w:cs="Times New Roman"/>
          <w:sz w:val="24"/>
          <w:szCs w:val="20"/>
        </w:rPr>
        <w:t xml:space="preserve">onitoring </w:t>
      </w:r>
      <w:r w:rsidR="00341300" w:rsidRPr="00191579">
        <w:rPr>
          <w:rFonts w:ascii="Garamond" w:hAnsi="Garamond" w:cs="Times New Roman"/>
          <w:sz w:val="24"/>
          <w:szCs w:val="20"/>
        </w:rPr>
        <w:t xml:space="preserve">subgrantee </w:t>
      </w:r>
      <w:r w:rsidR="00790538">
        <w:rPr>
          <w:rFonts w:ascii="Garamond" w:hAnsi="Garamond" w:cs="Times New Roman"/>
          <w:sz w:val="24"/>
          <w:szCs w:val="20"/>
        </w:rPr>
        <w:t xml:space="preserve">grant </w:t>
      </w:r>
      <w:r w:rsidR="00341300" w:rsidRPr="00191579">
        <w:rPr>
          <w:rFonts w:ascii="Garamond" w:hAnsi="Garamond" w:cs="Times New Roman"/>
          <w:sz w:val="24"/>
          <w:szCs w:val="20"/>
        </w:rPr>
        <w:t>compliance</w:t>
      </w:r>
      <w:r w:rsidR="001A5BAA">
        <w:rPr>
          <w:rFonts w:ascii="Garamond" w:hAnsi="Garamond" w:cs="Times New Roman"/>
          <w:sz w:val="24"/>
          <w:szCs w:val="20"/>
        </w:rPr>
        <w:t>/</w:t>
      </w:r>
      <w:r w:rsidR="00341300" w:rsidRPr="00191579">
        <w:rPr>
          <w:rFonts w:ascii="Garamond" w:hAnsi="Garamond" w:cs="Times New Roman"/>
          <w:sz w:val="24"/>
          <w:szCs w:val="20"/>
        </w:rPr>
        <w:t>performance</w:t>
      </w:r>
      <w:r w:rsidR="00447276">
        <w:rPr>
          <w:rFonts w:ascii="Garamond" w:hAnsi="Garamond" w:cs="Times New Roman"/>
          <w:sz w:val="24"/>
          <w:szCs w:val="20"/>
        </w:rPr>
        <w:t xml:space="preserve"> and </w:t>
      </w:r>
      <w:r w:rsidR="00341300" w:rsidRPr="00191579">
        <w:rPr>
          <w:rFonts w:ascii="Garamond" w:hAnsi="Garamond" w:cs="Times New Roman"/>
          <w:sz w:val="24"/>
          <w:szCs w:val="20"/>
        </w:rPr>
        <w:t xml:space="preserve">providing </w:t>
      </w:r>
      <w:r w:rsidR="001A5BAA">
        <w:rPr>
          <w:rFonts w:ascii="Garamond" w:hAnsi="Garamond" w:cs="Times New Roman"/>
          <w:sz w:val="24"/>
          <w:szCs w:val="20"/>
        </w:rPr>
        <w:t xml:space="preserve">necessary </w:t>
      </w:r>
      <w:r w:rsidR="00341300" w:rsidRPr="00191579">
        <w:rPr>
          <w:rFonts w:ascii="Garamond" w:hAnsi="Garamond" w:cs="Times New Roman"/>
          <w:sz w:val="24"/>
          <w:szCs w:val="20"/>
        </w:rPr>
        <w:t>technical assistance</w:t>
      </w:r>
      <w:r w:rsidR="00AA080D">
        <w:rPr>
          <w:rFonts w:ascii="Garamond" w:hAnsi="Garamond" w:cs="Times New Roman"/>
          <w:sz w:val="24"/>
          <w:szCs w:val="20"/>
        </w:rPr>
        <w:t>, leadership,</w:t>
      </w:r>
      <w:r w:rsidR="00341300" w:rsidRPr="00191579">
        <w:rPr>
          <w:rFonts w:ascii="Garamond" w:hAnsi="Garamond" w:cs="Times New Roman"/>
          <w:sz w:val="24"/>
          <w:szCs w:val="20"/>
        </w:rPr>
        <w:t xml:space="preserve"> and </w:t>
      </w:r>
      <w:r w:rsidR="004C4FF9">
        <w:rPr>
          <w:rFonts w:ascii="Garamond" w:hAnsi="Garamond" w:cs="Times New Roman"/>
          <w:sz w:val="24"/>
          <w:szCs w:val="20"/>
        </w:rPr>
        <w:t xml:space="preserve">high-quality </w:t>
      </w:r>
      <w:r w:rsidR="00341300" w:rsidRPr="00191579">
        <w:rPr>
          <w:rFonts w:ascii="Garamond" w:hAnsi="Garamond" w:cs="Times New Roman"/>
          <w:sz w:val="24"/>
          <w:szCs w:val="20"/>
        </w:rPr>
        <w:t>professional development</w:t>
      </w:r>
      <w:r w:rsidR="00AA080D">
        <w:rPr>
          <w:rFonts w:ascii="Garamond" w:hAnsi="Garamond" w:cs="Times New Roman"/>
          <w:sz w:val="24"/>
          <w:szCs w:val="20"/>
        </w:rPr>
        <w:t xml:space="preserve"> opportunities</w:t>
      </w:r>
      <w:r w:rsidR="00341300" w:rsidRPr="00191579">
        <w:rPr>
          <w:rFonts w:ascii="Garamond" w:hAnsi="Garamond" w:cs="Times New Roman"/>
          <w:sz w:val="24"/>
          <w:szCs w:val="20"/>
        </w:rPr>
        <w:t xml:space="preserve">; </w:t>
      </w:r>
      <w:r>
        <w:rPr>
          <w:rFonts w:ascii="Garamond" w:hAnsi="Garamond" w:cs="Times New Roman"/>
          <w:sz w:val="24"/>
          <w:szCs w:val="20"/>
        </w:rPr>
        <w:t>(2) O</w:t>
      </w:r>
      <w:r w:rsidR="00372191">
        <w:rPr>
          <w:rFonts w:ascii="Garamond" w:hAnsi="Garamond" w:cs="Times New Roman"/>
          <w:sz w:val="24"/>
          <w:szCs w:val="20"/>
        </w:rPr>
        <w:t>utreach and collaboration with WIOA core and other partners on local, state, and national levels</w:t>
      </w:r>
      <w:r>
        <w:rPr>
          <w:rFonts w:ascii="Garamond" w:hAnsi="Garamond" w:cs="Times New Roman"/>
          <w:sz w:val="24"/>
          <w:szCs w:val="20"/>
        </w:rPr>
        <w:t>;</w:t>
      </w:r>
      <w:r w:rsidR="00372191">
        <w:rPr>
          <w:rFonts w:ascii="Garamond" w:hAnsi="Garamond" w:cs="Times New Roman"/>
          <w:sz w:val="24"/>
          <w:szCs w:val="20"/>
        </w:rPr>
        <w:t xml:space="preserve"> </w:t>
      </w:r>
      <w:r w:rsidR="00341300" w:rsidRPr="00191579">
        <w:rPr>
          <w:rFonts w:ascii="Garamond" w:hAnsi="Garamond" w:cs="Times New Roman"/>
          <w:sz w:val="24"/>
          <w:szCs w:val="20"/>
        </w:rPr>
        <w:t xml:space="preserve">and </w:t>
      </w:r>
      <w:r>
        <w:rPr>
          <w:rFonts w:ascii="Garamond" w:hAnsi="Garamond" w:cs="Times New Roman"/>
          <w:sz w:val="24"/>
          <w:szCs w:val="20"/>
        </w:rPr>
        <w:t>(3) R</w:t>
      </w:r>
      <w:r w:rsidR="00341300" w:rsidRPr="00191579">
        <w:rPr>
          <w:rFonts w:ascii="Garamond" w:hAnsi="Garamond" w:cs="Times New Roman"/>
          <w:sz w:val="24"/>
          <w:szCs w:val="20"/>
        </w:rPr>
        <w:t xml:space="preserve">eporting to </w:t>
      </w:r>
      <w:r>
        <w:rPr>
          <w:rFonts w:ascii="Garamond" w:hAnsi="Garamond" w:cs="Times New Roman"/>
          <w:sz w:val="24"/>
          <w:szCs w:val="20"/>
        </w:rPr>
        <w:t xml:space="preserve">state and federal agencies and </w:t>
      </w:r>
      <w:r w:rsidR="00EF2E08">
        <w:rPr>
          <w:rFonts w:ascii="Garamond" w:hAnsi="Garamond" w:cs="Times New Roman"/>
          <w:sz w:val="24"/>
          <w:szCs w:val="20"/>
        </w:rPr>
        <w:t xml:space="preserve">other </w:t>
      </w:r>
      <w:r>
        <w:rPr>
          <w:rFonts w:ascii="Garamond" w:hAnsi="Garamond" w:cs="Times New Roman"/>
          <w:sz w:val="24"/>
          <w:szCs w:val="20"/>
        </w:rPr>
        <w:t>entities.</w:t>
      </w:r>
      <w:r w:rsidR="00341300" w:rsidRPr="00191579">
        <w:rPr>
          <w:rFonts w:ascii="Garamond" w:hAnsi="Garamond" w:cs="Times New Roman"/>
          <w:sz w:val="24"/>
          <w:szCs w:val="20"/>
        </w:rPr>
        <w:t xml:space="preserve"> </w:t>
      </w:r>
      <w:r w:rsidR="00952D3B">
        <w:rPr>
          <w:rFonts w:ascii="Garamond" w:hAnsi="Garamond" w:cs="Times New Roman"/>
          <w:sz w:val="24"/>
          <w:szCs w:val="20"/>
        </w:rPr>
        <w:t>NM</w:t>
      </w:r>
      <w:r w:rsidR="0070762D">
        <w:rPr>
          <w:rFonts w:ascii="Garamond" w:hAnsi="Garamond" w:cs="Times New Roman"/>
          <w:sz w:val="24"/>
          <w:szCs w:val="20"/>
        </w:rPr>
        <w:t>HED-AE</w:t>
      </w:r>
      <w:r w:rsidR="00952D3B">
        <w:rPr>
          <w:rFonts w:ascii="Garamond" w:hAnsi="Garamond" w:cs="Times New Roman"/>
          <w:sz w:val="24"/>
          <w:szCs w:val="20"/>
        </w:rPr>
        <w:t xml:space="preserve"> supported 24 </w:t>
      </w:r>
      <w:r w:rsidR="00435FE4">
        <w:rPr>
          <w:rFonts w:ascii="Garamond" w:hAnsi="Garamond" w:cs="Times New Roman"/>
          <w:sz w:val="24"/>
          <w:szCs w:val="20"/>
        </w:rPr>
        <w:t xml:space="preserve">local </w:t>
      </w:r>
      <w:r w:rsidR="00952D3B">
        <w:rPr>
          <w:rFonts w:ascii="Garamond" w:hAnsi="Garamond" w:cs="Times New Roman"/>
          <w:sz w:val="24"/>
          <w:szCs w:val="20"/>
        </w:rPr>
        <w:t>adult education providers</w:t>
      </w:r>
      <w:r w:rsidR="00DD74C0">
        <w:rPr>
          <w:rFonts w:ascii="Garamond" w:hAnsi="Garamond" w:cs="Times New Roman"/>
          <w:sz w:val="24"/>
          <w:szCs w:val="20"/>
        </w:rPr>
        <w:t xml:space="preserve"> </w:t>
      </w:r>
      <w:r w:rsidR="00D07923">
        <w:rPr>
          <w:rFonts w:ascii="Garamond" w:hAnsi="Garamond" w:cs="Times New Roman"/>
          <w:sz w:val="24"/>
          <w:szCs w:val="20"/>
        </w:rPr>
        <w:t xml:space="preserve">during this </w:t>
      </w:r>
      <w:r w:rsidR="00B91329">
        <w:rPr>
          <w:rFonts w:ascii="Garamond" w:hAnsi="Garamond" w:cs="Times New Roman"/>
          <w:sz w:val="24"/>
          <w:szCs w:val="20"/>
        </w:rPr>
        <w:t>reporting year</w:t>
      </w:r>
      <w:r w:rsidR="000C2314">
        <w:rPr>
          <w:rFonts w:ascii="Garamond" w:hAnsi="Garamond" w:cs="Times New Roman"/>
          <w:sz w:val="24"/>
          <w:szCs w:val="20"/>
        </w:rPr>
        <w:t xml:space="preserve">, </w:t>
      </w:r>
      <w:r w:rsidR="00341300">
        <w:rPr>
          <w:rFonts w:ascii="Garamond" w:hAnsi="Garamond" w:cs="Times New Roman"/>
          <w:sz w:val="24"/>
          <w:szCs w:val="20"/>
        </w:rPr>
        <w:t xml:space="preserve">the </w:t>
      </w:r>
      <w:r w:rsidR="0070762D">
        <w:rPr>
          <w:rFonts w:ascii="Garamond" w:hAnsi="Garamond" w:cs="Times New Roman"/>
          <w:sz w:val="24"/>
          <w:szCs w:val="20"/>
        </w:rPr>
        <w:t xml:space="preserve">penultimate </w:t>
      </w:r>
      <w:r w:rsidR="00341300">
        <w:rPr>
          <w:rFonts w:ascii="Garamond" w:hAnsi="Garamond" w:cs="Times New Roman"/>
          <w:sz w:val="24"/>
          <w:szCs w:val="20"/>
        </w:rPr>
        <w:t xml:space="preserve">of our current </w:t>
      </w:r>
      <w:r w:rsidR="000C2314">
        <w:rPr>
          <w:rFonts w:ascii="Garamond" w:hAnsi="Garamond" w:cs="Times New Roman"/>
          <w:sz w:val="24"/>
          <w:szCs w:val="20"/>
        </w:rPr>
        <w:t xml:space="preserve">competitive </w:t>
      </w:r>
      <w:r w:rsidR="00341300">
        <w:rPr>
          <w:rFonts w:ascii="Garamond" w:hAnsi="Garamond" w:cs="Times New Roman"/>
          <w:sz w:val="24"/>
          <w:szCs w:val="20"/>
        </w:rPr>
        <w:t>AEFLA grant cycle</w:t>
      </w:r>
      <w:r w:rsidR="003F30FD">
        <w:rPr>
          <w:rFonts w:ascii="Garamond" w:hAnsi="Garamond" w:cs="Times New Roman"/>
          <w:sz w:val="24"/>
          <w:szCs w:val="20"/>
        </w:rPr>
        <w:t>.  T</w:t>
      </w:r>
      <w:r w:rsidR="00D07923">
        <w:rPr>
          <w:rFonts w:ascii="Garamond" w:hAnsi="Garamond" w:cs="Times New Roman"/>
          <w:sz w:val="24"/>
          <w:szCs w:val="20"/>
        </w:rPr>
        <w:t xml:space="preserve">he majority of </w:t>
      </w:r>
      <w:r w:rsidR="0070762D">
        <w:rPr>
          <w:rFonts w:ascii="Garamond" w:hAnsi="Garamond" w:cs="Times New Roman"/>
          <w:sz w:val="24"/>
          <w:szCs w:val="20"/>
        </w:rPr>
        <w:t>New Mexico’s</w:t>
      </w:r>
      <w:r w:rsidR="003F30FD">
        <w:rPr>
          <w:rFonts w:ascii="Garamond" w:hAnsi="Garamond" w:cs="Times New Roman"/>
          <w:sz w:val="24"/>
          <w:szCs w:val="20"/>
        </w:rPr>
        <w:t xml:space="preserve"> </w:t>
      </w:r>
      <w:r w:rsidR="00D07923">
        <w:rPr>
          <w:rFonts w:ascii="Garamond" w:hAnsi="Garamond" w:cs="Times New Roman"/>
          <w:sz w:val="24"/>
          <w:szCs w:val="20"/>
        </w:rPr>
        <w:t xml:space="preserve">local providers </w:t>
      </w:r>
      <w:r w:rsidR="0070762D">
        <w:rPr>
          <w:rFonts w:ascii="Garamond" w:hAnsi="Garamond" w:cs="Times New Roman"/>
          <w:sz w:val="24"/>
          <w:szCs w:val="20"/>
        </w:rPr>
        <w:t>are</w:t>
      </w:r>
      <w:r w:rsidR="00D07923">
        <w:rPr>
          <w:rFonts w:ascii="Garamond" w:hAnsi="Garamond" w:cs="Times New Roman"/>
          <w:sz w:val="24"/>
          <w:szCs w:val="20"/>
        </w:rPr>
        <w:t xml:space="preserve"> community colleges and branch campuses</w:t>
      </w:r>
      <w:r w:rsidR="00B91329">
        <w:rPr>
          <w:rFonts w:ascii="Garamond" w:hAnsi="Garamond" w:cs="Times New Roman"/>
          <w:sz w:val="24"/>
          <w:szCs w:val="20"/>
        </w:rPr>
        <w:t>.  T</w:t>
      </w:r>
      <w:r w:rsidR="003F30FD">
        <w:rPr>
          <w:rFonts w:ascii="Garamond" w:hAnsi="Garamond" w:cs="Times New Roman"/>
          <w:sz w:val="24"/>
          <w:szCs w:val="20"/>
        </w:rPr>
        <w:t>ogether</w:t>
      </w:r>
      <w:r w:rsidR="00B91329">
        <w:rPr>
          <w:rFonts w:ascii="Garamond" w:hAnsi="Garamond" w:cs="Times New Roman"/>
          <w:sz w:val="24"/>
          <w:szCs w:val="20"/>
        </w:rPr>
        <w:t>,</w:t>
      </w:r>
      <w:r w:rsidR="003F30FD">
        <w:rPr>
          <w:rFonts w:ascii="Garamond" w:hAnsi="Garamond" w:cs="Times New Roman"/>
          <w:sz w:val="24"/>
          <w:szCs w:val="20"/>
        </w:rPr>
        <w:t xml:space="preserve"> </w:t>
      </w:r>
      <w:r w:rsidR="00071E37">
        <w:rPr>
          <w:rFonts w:ascii="Garamond" w:hAnsi="Garamond" w:cs="Times New Roman"/>
          <w:sz w:val="24"/>
          <w:szCs w:val="20"/>
        </w:rPr>
        <w:t xml:space="preserve">local </w:t>
      </w:r>
      <w:r w:rsidR="003F30FD">
        <w:rPr>
          <w:rFonts w:ascii="Garamond" w:hAnsi="Garamond" w:cs="Times New Roman"/>
          <w:sz w:val="24"/>
          <w:szCs w:val="20"/>
        </w:rPr>
        <w:t>providers served a total of</w:t>
      </w:r>
      <w:r w:rsidR="00952D3B">
        <w:rPr>
          <w:rFonts w:ascii="Garamond" w:hAnsi="Garamond" w:cs="Times New Roman"/>
          <w:sz w:val="24"/>
          <w:szCs w:val="20"/>
        </w:rPr>
        <w:t xml:space="preserve"> </w:t>
      </w:r>
      <w:r w:rsidR="005B6462">
        <w:rPr>
          <w:rFonts w:ascii="Garamond" w:hAnsi="Garamond" w:cs="Times New Roman"/>
          <w:sz w:val="24"/>
          <w:szCs w:val="20"/>
        </w:rPr>
        <w:t>9,520</w:t>
      </w:r>
      <w:r w:rsidR="00952D3B">
        <w:rPr>
          <w:rFonts w:ascii="Garamond" w:hAnsi="Garamond" w:cs="Times New Roman"/>
          <w:sz w:val="24"/>
          <w:szCs w:val="20"/>
        </w:rPr>
        <w:t xml:space="preserve"> adult education students </w:t>
      </w:r>
      <w:r w:rsidR="00DD74C0">
        <w:rPr>
          <w:rFonts w:ascii="Garamond" w:hAnsi="Garamond" w:cs="Times New Roman"/>
          <w:sz w:val="24"/>
          <w:szCs w:val="20"/>
        </w:rPr>
        <w:t xml:space="preserve">with “high-touch” instruction and services </w:t>
      </w:r>
      <w:r w:rsidR="00435FE4">
        <w:rPr>
          <w:rFonts w:ascii="Garamond" w:hAnsi="Garamond" w:cs="Times New Roman"/>
          <w:sz w:val="24"/>
          <w:szCs w:val="20"/>
        </w:rPr>
        <w:t>in all four (4) workforce regions</w:t>
      </w:r>
      <w:r w:rsidR="0070762D">
        <w:rPr>
          <w:rFonts w:ascii="Garamond" w:hAnsi="Garamond" w:cs="Times New Roman"/>
          <w:sz w:val="24"/>
          <w:szCs w:val="20"/>
        </w:rPr>
        <w:t>.</w:t>
      </w:r>
      <w:r w:rsidR="00A574BD">
        <w:rPr>
          <w:rFonts w:ascii="Garamond" w:hAnsi="Garamond" w:cs="Times New Roman"/>
          <w:sz w:val="24"/>
          <w:szCs w:val="20"/>
        </w:rPr>
        <w:t xml:space="preserve">  In addition, Adult Education programs and services continued to be provided in </w:t>
      </w:r>
      <w:r w:rsidR="00DD227A">
        <w:rPr>
          <w:rFonts w:ascii="Garamond" w:hAnsi="Garamond" w:cs="Times New Roman"/>
          <w:sz w:val="24"/>
          <w:szCs w:val="20"/>
        </w:rPr>
        <w:t xml:space="preserve">all </w:t>
      </w:r>
      <w:r>
        <w:rPr>
          <w:rFonts w:ascii="Garamond" w:hAnsi="Garamond" w:cs="Times New Roman"/>
          <w:sz w:val="24"/>
          <w:szCs w:val="20"/>
        </w:rPr>
        <w:t xml:space="preserve">New Mexico </w:t>
      </w:r>
      <w:r w:rsidR="00DD227A">
        <w:rPr>
          <w:rFonts w:ascii="Garamond" w:hAnsi="Garamond" w:cs="Times New Roman"/>
          <w:sz w:val="24"/>
          <w:szCs w:val="20"/>
        </w:rPr>
        <w:t>prison facilities</w:t>
      </w:r>
      <w:r w:rsidR="00A574BD">
        <w:rPr>
          <w:rFonts w:ascii="Garamond" w:hAnsi="Garamond" w:cs="Times New Roman"/>
          <w:sz w:val="24"/>
          <w:szCs w:val="20"/>
        </w:rPr>
        <w:t xml:space="preserve">, since one of our largest </w:t>
      </w:r>
      <w:r w:rsidR="002878E3">
        <w:rPr>
          <w:rFonts w:ascii="Garamond" w:hAnsi="Garamond" w:cs="Times New Roman"/>
          <w:sz w:val="24"/>
          <w:szCs w:val="20"/>
        </w:rPr>
        <w:t xml:space="preserve">AEFLA </w:t>
      </w:r>
      <w:r w:rsidR="00A574BD">
        <w:rPr>
          <w:rFonts w:ascii="Garamond" w:hAnsi="Garamond" w:cs="Times New Roman"/>
          <w:sz w:val="24"/>
          <w:szCs w:val="20"/>
        </w:rPr>
        <w:t>subgrantees is the New Mexico Corrections Department.</w:t>
      </w:r>
      <w:r w:rsidR="00DD227A">
        <w:rPr>
          <w:rFonts w:ascii="Garamond" w:hAnsi="Garamond" w:cs="Times New Roman"/>
          <w:sz w:val="24"/>
          <w:szCs w:val="20"/>
        </w:rPr>
        <w:t xml:space="preserve"> </w:t>
      </w:r>
    </w:p>
    <w:p w:rsidR="00C910E6" w:rsidRPr="00E04E6E" w:rsidRDefault="00DD227A" w:rsidP="00A83827">
      <w:pPr>
        <w:spacing w:after="120"/>
        <w:rPr>
          <w:rFonts w:ascii="Garamond" w:hAnsi="Garamond" w:cs="Times New Roman"/>
          <w:sz w:val="24"/>
          <w:szCs w:val="20"/>
        </w:rPr>
      </w:pPr>
      <w:r>
        <w:rPr>
          <w:rFonts w:ascii="Garamond" w:hAnsi="Garamond" w:cs="Times New Roman"/>
          <w:sz w:val="24"/>
          <w:szCs w:val="20"/>
        </w:rPr>
        <w:t xml:space="preserve">The worldwide COVID pandemic was a major disruptor during this reporting period, with </w:t>
      </w:r>
      <w:r w:rsidR="003774CF">
        <w:rPr>
          <w:rFonts w:ascii="Garamond" w:hAnsi="Garamond" w:cs="Times New Roman"/>
          <w:sz w:val="24"/>
          <w:szCs w:val="20"/>
        </w:rPr>
        <w:t xml:space="preserve"> </w:t>
      </w:r>
      <w:r>
        <w:rPr>
          <w:rFonts w:ascii="Garamond" w:hAnsi="Garamond" w:cs="Times New Roman"/>
          <w:sz w:val="24"/>
          <w:szCs w:val="20"/>
        </w:rPr>
        <w:t>landslide onset hitting in early March</w:t>
      </w:r>
      <w:r w:rsidR="003774CF">
        <w:rPr>
          <w:rFonts w:ascii="Garamond" w:hAnsi="Garamond" w:cs="Times New Roman"/>
          <w:sz w:val="24"/>
          <w:szCs w:val="20"/>
        </w:rPr>
        <w:t>, 2020.</w:t>
      </w:r>
      <w:r>
        <w:rPr>
          <w:rFonts w:ascii="Garamond" w:hAnsi="Garamond" w:cs="Times New Roman"/>
          <w:sz w:val="24"/>
          <w:szCs w:val="20"/>
        </w:rPr>
        <w:t xml:space="preserve">  </w:t>
      </w:r>
      <w:r w:rsidR="00A574BD">
        <w:rPr>
          <w:rFonts w:ascii="Garamond" w:hAnsi="Garamond" w:cs="Times New Roman"/>
          <w:sz w:val="24"/>
          <w:szCs w:val="20"/>
        </w:rPr>
        <w:t xml:space="preserve">While Adult Education in New Mexico was well-positioned to quickly transition to primarily distance </w:t>
      </w:r>
      <w:r w:rsidR="00F81742">
        <w:rPr>
          <w:rFonts w:ascii="Garamond" w:hAnsi="Garamond" w:cs="Times New Roman"/>
          <w:sz w:val="24"/>
          <w:szCs w:val="20"/>
        </w:rPr>
        <w:t>education options</w:t>
      </w:r>
      <w:r w:rsidR="00A574BD">
        <w:rPr>
          <w:rFonts w:ascii="Garamond" w:hAnsi="Garamond" w:cs="Times New Roman"/>
          <w:sz w:val="24"/>
          <w:szCs w:val="20"/>
        </w:rPr>
        <w:t xml:space="preserve">, </w:t>
      </w:r>
      <w:r w:rsidR="000A131C">
        <w:rPr>
          <w:rFonts w:ascii="Garamond" w:hAnsi="Garamond" w:cs="Times New Roman"/>
          <w:sz w:val="24"/>
          <w:szCs w:val="20"/>
        </w:rPr>
        <w:t>and while NM</w:t>
      </w:r>
      <w:r w:rsidR="007D4082">
        <w:rPr>
          <w:rFonts w:ascii="Garamond" w:hAnsi="Garamond" w:cs="Times New Roman"/>
          <w:sz w:val="24"/>
          <w:szCs w:val="20"/>
        </w:rPr>
        <w:t>HED-AE</w:t>
      </w:r>
      <w:r w:rsidR="000A131C">
        <w:rPr>
          <w:rFonts w:ascii="Garamond" w:hAnsi="Garamond" w:cs="Times New Roman"/>
          <w:sz w:val="24"/>
          <w:szCs w:val="20"/>
        </w:rPr>
        <w:t xml:space="preserve"> saw creative and truly heroic efforts by local programs to support students and encourage persistence</w:t>
      </w:r>
      <w:r w:rsidR="005563A1">
        <w:rPr>
          <w:rFonts w:ascii="Garamond" w:hAnsi="Garamond" w:cs="Times New Roman"/>
          <w:sz w:val="24"/>
          <w:szCs w:val="20"/>
        </w:rPr>
        <w:t xml:space="preserve">, </w:t>
      </w:r>
      <w:r w:rsidR="000A131C">
        <w:rPr>
          <w:rFonts w:ascii="Garamond" w:hAnsi="Garamond" w:cs="Times New Roman"/>
          <w:sz w:val="24"/>
          <w:szCs w:val="20"/>
        </w:rPr>
        <w:t xml:space="preserve">new enrollments, </w:t>
      </w:r>
      <w:r w:rsidR="005563A1">
        <w:rPr>
          <w:rFonts w:ascii="Garamond" w:hAnsi="Garamond" w:cs="Times New Roman"/>
          <w:sz w:val="24"/>
          <w:szCs w:val="20"/>
        </w:rPr>
        <w:t xml:space="preserve">and </w:t>
      </w:r>
      <w:r w:rsidR="007D4082">
        <w:rPr>
          <w:rFonts w:ascii="Garamond" w:hAnsi="Garamond" w:cs="Times New Roman"/>
          <w:sz w:val="24"/>
          <w:szCs w:val="20"/>
        </w:rPr>
        <w:t xml:space="preserve">continued </w:t>
      </w:r>
      <w:r w:rsidR="005563A1">
        <w:rPr>
          <w:rFonts w:ascii="Garamond" w:hAnsi="Garamond" w:cs="Times New Roman"/>
          <w:sz w:val="24"/>
          <w:szCs w:val="20"/>
        </w:rPr>
        <w:t>testing…</w:t>
      </w:r>
      <w:r w:rsidR="00210021">
        <w:rPr>
          <w:rFonts w:ascii="Garamond" w:hAnsi="Garamond" w:cs="Times New Roman"/>
          <w:sz w:val="24"/>
          <w:szCs w:val="20"/>
        </w:rPr>
        <w:t>huge</w:t>
      </w:r>
      <w:r w:rsidR="00F81742">
        <w:rPr>
          <w:rFonts w:ascii="Garamond" w:hAnsi="Garamond" w:cs="Times New Roman"/>
          <w:sz w:val="24"/>
          <w:szCs w:val="20"/>
        </w:rPr>
        <w:t xml:space="preserve"> </w:t>
      </w:r>
      <w:r w:rsidR="00A574BD">
        <w:rPr>
          <w:rFonts w:ascii="Garamond" w:hAnsi="Garamond" w:cs="Times New Roman"/>
          <w:sz w:val="24"/>
          <w:szCs w:val="20"/>
        </w:rPr>
        <w:t>COVID-</w:t>
      </w:r>
      <w:r w:rsidR="000A131C">
        <w:rPr>
          <w:rFonts w:ascii="Garamond" w:hAnsi="Garamond" w:cs="Times New Roman"/>
          <w:sz w:val="24"/>
          <w:szCs w:val="20"/>
        </w:rPr>
        <w:t>specific</w:t>
      </w:r>
      <w:r w:rsidR="00A574BD">
        <w:rPr>
          <w:rFonts w:ascii="Garamond" w:hAnsi="Garamond" w:cs="Times New Roman"/>
          <w:sz w:val="24"/>
          <w:szCs w:val="20"/>
        </w:rPr>
        <w:t xml:space="preserve"> struggles combined with </w:t>
      </w:r>
      <w:r w:rsidR="000A131C">
        <w:rPr>
          <w:rFonts w:ascii="Garamond" w:hAnsi="Garamond" w:cs="Times New Roman"/>
          <w:sz w:val="24"/>
          <w:szCs w:val="20"/>
        </w:rPr>
        <w:t>related</w:t>
      </w:r>
      <w:r w:rsidR="00A574BD">
        <w:rPr>
          <w:rFonts w:ascii="Garamond" w:hAnsi="Garamond" w:cs="Times New Roman"/>
          <w:sz w:val="24"/>
          <w:szCs w:val="20"/>
        </w:rPr>
        <w:t xml:space="preserve"> </w:t>
      </w:r>
      <w:r w:rsidR="000A131C">
        <w:rPr>
          <w:rFonts w:ascii="Garamond" w:hAnsi="Garamond" w:cs="Times New Roman"/>
          <w:sz w:val="24"/>
          <w:szCs w:val="20"/>
        </w:rPr>
        <w:t>rural</w:t>
      </w:r>
      <w:r w:rsidR="00210021">
        <w:rPr>
          <w:rFonts w:ascii="Garamond" w:hAnsi="Garamond" w:cs="Times New Roman"/>
          <w:sz w:val="24"/>
          <w:szCs w:val="20"/>
        </w:rPr>
        <w:t xml:space="preserve"> realities,</w:t>
      </w:r>
      <w:r w:rsidR="000A131C">
        <w:rPr>
          <w:rFonts w:ascii="Garamond" w:hAnsi="Garamond" w:cs="Times New Roman"/>
          <w:sz w:val="24"/>
          <w:szCs w:val="20"/>
        </w:rPr>
        <w:t xml:space="preserve"> poverty</w:t>
      </w:r>
      <w:r w:rsidR="0098746E">
        <w:rPr>
          <w:rFonts w:ascii="Garamond" w:hAnsi="Garamond" w:cs="Times New Roman"/>
          <w:sz w:val="24"/>
          <w:szCs w:val="20"/>
        </w:rPr>
        <w:t>,</w:t>
      </w:r>
      <w:r w:rsidR="000A131C">
        <w:rPr>
          <w:rFonts w:ascii="Garamond" w:hAnsi="Garamond" w:cs="Times New Roman"/>
          <w:sz w:val="24"/>
          <w:szCs w:val="20"/>
        </w:rPr>
        <w:t xml:space="preserve"> </w:t>
      </w:r>
      <w:r w:rsidR="00210021">
        <w:rPr>
          <w:rFonts w:ascii="Garamond" w:hAnsi="Garamond" w:cs="Times New Roman"/>
          <w:sz w:val="24"/>
          <w:szCs w:val="20"/>
        </w:rPr>
        <w:t xml:space="preserve">and the gaping digital divide </w:t>
      </w:r>
      <w:r w:rsidR="000A131C">
        <w:rPr>
          <w:rFonts w:ascii="Garamond" w:hAnsi="Garamond" w:cs="Times New Roman"/>
          <w:sz w:val="24"/>
          <w:szCs w:val="20"/>
        </w:rPr>
        <w:t>in our state</w:t>
      </w:r>
      <w:r w:rsidR="006B5658">
        <w:rPr>
          <w:rFonts w:ascii="Garamond" w:hAnsi="Garamond" w:cs="Times New Roman"/>
          <w:sz w:val="24"/>
          <w:szCs w:val="20"/>
        </w:rPr>
        <w:t xml:space="preserve"> </w:t>
      </w:r>
      <w:r w:rsidR="00425F60">
        <w:rPr>
          <w:rFonts w:ascii="Garamond" w:hAnsi="Garamond" w:cs="Times New Roman"/>
          <w:sz w:val="24"/>
          <w:szCs w:val="20"/>
        </w:rPr>
        <w:t>took a</w:t>
      </w:r>
      <w:r w:rsidR="006B5658">
        <w:rPr>
          <w:rFonts w:ascii="Garamond" w:hAnsi="Garamond" w:cs="Times New Roman"/>
          <w:sz w:val="24"/>
          <w:szCs w:val="20"/>
        </w:rPr>
        <w:t xml:space="preserve"> fast</w:t>
      </w:r>
      <w:r w:rsidR="00064C5E">
        <w:rPr>
          <w:rFonts w:ascii="Garamond" w:hAnsi="Garamond" w:cs="Times New Roman"/>
          <w:sz w:val="24"/>
          <w:szCs w:val="20"/>
        </w:rPr>
        <w:t xml:space="preserve"> </w:t>
      </w:r>
      <w:r w:rsidR="005563A1">
        <w:rPr>
          <w:rFonts w:ascii="Garamond" w:hAnsi="Garamond" w:cs="Times New Roman"/>
          <w:sz w:val="24"/>
          <w:szCs w:val="20"/>
        </w:rPr>
        <w:t>toll</w:t>
      </w:r>
      <w:r w:rsidR="00425F60">
        <w:rPr>
          <w:rFonts w:ascii="Garamond" w:hAnsi="Garamond" w:cs="Times New Roman"/>
          <w:sz w:val="24"/>
          <w:szCs w:val="20"/>
        </w:rPr>
        <w:t>,</w:t>
      </w:r>
      <w:r w:rsidR="0098746E">
        <w:rPr>
          <w:rFonts w:ascii="Garamond" w:hAnsi="Garamond" w:cs="Times New Roman"/>
          <w:sz w:val="24"/>
          <w:szCs w:val="20"/>
        </w:rPr>
        <w:t xml:space="preserve"> </w:t>
      </w:r>
      <w:r w:rsidR="00AA080D">
        <w:rPr>
          <w:rFonts w:ascii="Garamond" w:hAnsi="Garamond" w:cs="Times New Roman"/>
          <w:sz w:val="24"/>
          <w:szCs w:val="20"/>
        </w:rPr>
        <w:t xml:space="preserve">with </w:t>
      </w:r>
      <w:r w:rsidR="00210021">
        <w:rPr>
          <w:rFonts w:ascii="Garamond" w:hAnsi="Garamond" w:cs="Times New Roman"/>
          <w:sz w:val="24"/>
          <w:szCs w:val="20"/>
        </w:rPr>
        <w:t xml:space="preserve">consequences </w:t>
      </w:r>
      <w:r w:rsidR="006B5658">
        <w:rPr>
          <w:rFonts w:ascii="Garamond" w:hAnsi="Garamond" w:cs="Times New Roman"/>
          <w:sz w:val="24"/>
          <w:szCs w:val="20"/>
        </w:rPr>
        <w:t xml:space="preserve">that </w:t>
      </w:r>
      <w:r w:rsidR="0098746E">
        <w:rPr>
          <w:rFonts w:ascii="Garamond" w:hAnsi="Garamond" w:cs="Times New Roman"/>
          <w:sz w:val="24"/>
          <w:szCs w:val="20"/>
        </w:rPr>
        <w:t>continu</w:t>
      </w:r>
      <w:r w:rsidR="006B5658">
        <w:rPr>
          <w:rFonts w:ascii="Garamond" w:hAnsi="Garamond" w:cs="Times New Roman"/>
          <w:sz w:val="24"/>
          <w:szCs w:val="20"/>
        </w:rPr>
        <w:t>e</w:t>
      </w:r>
      <w:r w:rsidR="0098746E">
        <w:rPr>
          <w:rFonts w:ascii="Garamond" w:hAnsi="Garamond" w:cs="Times New Roman"/>
          <w:sz w:val="24"/>
          <w:szCs w:val="20"/>
        </w:rPr>
        <w:t xml:space="preserve"> to mount</w:t>
      </w:r>
      <w:r w:rsidR="00425F60">
        <w:rPr>
          <w:rFonts w:ascii="Garamond" w:hAnsi="Garamond" w:cs="Times New Roman"/>
          <w:sz w:val="24"/>
          <w:szCs w:val="20"/>
        </w:rPr>
        <w:t xml:space="preserve"> --</w:t>
      </w:r>
      <w:r w:rsidR="006B5658">
        <w:rPr>
          <w:rFonts w:ascii="Garamond" w:hAnsi="Garamond" w:cs="Times New Roman"/>
          <w:sz w:val="24"/>
          <w:szCs w:val="20"/>
        </w:rPr>
        <w:t xml:space="preserve"> </w:t>
      </w:r>
      <w:r w:rsidR="006D3459">
        <w:rPr>
          <w:rFonts w:ascii="Garamond" w:hAnsi="Garamond" w:cs="Times New Roman"/>
          <w:sz w:val="24"/>
          <w:szCs w:val="20"/>
        </w:rPr>
        <w:t xml:space="preserve">but which also presented opportunities for collective </w:t>
      </w:r>
      <w:r w:rsidR="00425F60">
        <w:rPr>
          <w:rFonts w:ascii="Garamond" w:hAnsi="Garamond" w:cs="Times New Roman"/>
          <w:sz w:val="24"/>
          <w:szCs w:val="20"/>
        </w:rPr>
        <w:t>awareness</w:t>
      </w:r>
      <w:r w:rsidR="006D3459">
        <w:rPr>
          <w:rFonts w:ascii="Garamond" w:hAnsi="Garamond" w:cs="Times New Roman"/>
          <w:sz w:val="24"/>
          <w:szCs w:val="20"/>
        </w:rPr>
        <w:t xml:space="preserve"> and action on many fronts.</w:t>
      </w:r>
      <w:r w:rsidR="00FC5FBC">
        <w:rPr>
          <w:rFonts w:ascii="Garamond" w:hAnsi="Garamond" w:cs="Times New Roman"/>
          <w:sz w:val="24"/>
          <w:szCs w:val="20"/>
        </w:rPr>
        <w:t xml:space="preserve">  </w:t>
      </w:r>
      <w:r w:rsidR="00210021">
        <w:rPr>
          <w:rFonts w:ascii="Garamond" w:hAnsi="Garamond" w:cs="Times New Roman"/>
          <w:sz w:val="24"/>
          <w:szCs w:val="20"/>
        </w:rPr>
        <w:t>Mishandled,</w:t>
      </w:r>
      <w:r w:rsidR="008C2579">
        <w:rPr>
          <w:rFonts w:ascii="Garamond" w:hAnsi="Garamond" w:cs="Times New Roman"/>
          <w:sz w:val="24"/>
          <w:szCs w:val="20"/>
        </w:rPr>
        <w:t xml:space="preserve"> </w:t>
      </w:r>
      <w:r w:rsidR="00D545AE">
        <w:rPr>
          <w:rFonts w:ascii="Garamond" w:hAnsi="Garamond" w:cs="Times New Roman"/>
          <w:sz w:val="24"/>
          <w:szCs w:val="20"/>
        </w:rPr>
        <w:t>certain</w:t>
      </w:r>
      <w:r w:rsidR="00145689">
        <w:rPr>
          <w:rFonts w:ascii="Garamond" w:hAnsi="Garamond" w:cs="Times New Roman"/>
          <w:sz w:val="24"/>
          <w:szCs w:val="20"/>
        </w:rPr>
        <w:t xml:space="preserve"> quantitative</w:t>
      </w:r>
      <w:r w:rsidR="00210021">
        <w:rPr>
          <w:rFonts w:ascii="Garamond" w:hAnsi="Garamond" w:cs="Times New Roman"/>
          <w:sz w:val="24"/>
          <w:szCs w:val="20"/>
        </w:rPr>
        <w:t xml:space="preserve"> </w:t>
      </w:r>
      <w:r w:rsidR="00FC5FBC">
        <w:rPr>
          <w:rFonts w:ascii="Garamond" w:hAnsi="Garamond" w:cs="Times New Roman"/>
          <w:sz w:val="24"/>
          <w:szCs w:val="20"/>
        </w:rPr>
        <w:t xml:space="preserve">data points could be woven into </w:t>
      </w:r>
      <w:r w:rsidR="006B5658">
        <w:rPr>
          <w:rFonts w:ascii="Garamond" w:hAnsi="Garamond" w:cs="Times New Roman"/>
          <w:sz w:val="24"/>
          <w:szCs w:val="20"/>
        </w:rPr>
        <w:t xml:space="preserve">future </w:t>
      </w:r>
      <w:r w:rsidR="00FC5FBC">
        <w:rPr>
          <w:rFonts w:ascii="Garamond" w:hAnsi="Garamond" w:cs="Times New Roman"/>
          <w:sz w:val="24"/>
          <w:szCs w:val="20"/>
        </w:rPr>
        <w:t>narratives</w:t>
      </w:r>
      <w:r w:rsidR="00210021">
        <w:rPr>
          <w:rFonts w:ascii="Garamond" w:hAnsi="Garamond" w:cs="Times New Roman"/>
          <w:sz w:val="24"/>
          <w:szCs w:val="20"/>
        </w:rPr>
        <w:t xml:space="preserve"> </w:t>
      </w:r>
      <w:r w:rsidR="00D10700">
        <w:rPr>
          <w:rFonts w:ascii="Garamond" w:hAnsi="Garamond" w:cs="Times New Roman"/>
          <w:sz w:val="24"/>
          <w:szCs w:val="20"/>
        </w:rPr>
        <w:t>to</w:t>
      </w:r>
      <w:r w:rsidR="00FC5FBC">
        <w:rPr>
          <w:rFonts w:ascii="Garamond" w:hAnsi="Garamond" w:cs="Times New Roman"/>
          <w:sz w:val="24"/>
          <w:szCs w:val="20"/>
        </w:rPr>
        <w:t xml:space="preserve"> </w:t>
      </w:r>
      <w:r w:rsidR="00210021">
        <w:rPr>
          <w:rFonts w:ascii="Garamond" w:hAnsi="Garamond" w:cs="Times New Roman"/>
          <w:sz w:val="24"/>
          <w:szCs w:val="20"/>
        </w:rPr>
        <w:t xml:space="preserve">tell a false tale of </w:t>
      </w:r>
      <w:r w:rsidR="008C2579">
        <w:rPr>
          <w:rFonts w:ascii="Garamond" w:hAnsi="Garamond" w:cs="Times New Roman"/>
          <w:sz w:val="24"/>
          <w:szCs w:val="20"/>
        </w:rPr>
        <w:t xml:space="preserve">field </w:t>
      </w:r>
      <w:r w:rsidR="00210021">
        <w:rPr>
          <w:rFonts w:ascii="Garamond" w:hAnsi="Garamond" w:cs="Times New Roman"/>
          <w:sz w:val="24"/>
          <w:szCs w:val="20"/>
        </w:rPr>
        <w:t>inefficacy.</w:t>
      </w:r>
      <w:r w:rsidR="00B9767D">
        <w:rPr>
          <w:rFonts w:ascii="Garamond" w:hAnsi="Garamond" w:cs="Times New Roman"/>
          <w:sz w:val="24"/>
          <w:szCs w:val="20"/>
        </w:rPr>
        <w:t xml:space="preserve">  </w:t>
      </w:r>
      <w:r w:rsidR="00267268">
        <w:rPr>
          <w:rFonts w:ascii="Garamond" w:hAnsi="Garamond" w:cs="Times New Roman"/>
          <w:sz w:val="24"/>
          <w:szCs w:val="20"/>
        </w:rPr>
        <w:t>W</w:t>
      </w:r>
      <w:r w:rsidR="008C2579">
        <w:rPr>
          <w:rFonts w:ascii="Garamond" w:hAnsi="Garamond" w:cs="Times New Roman"/>
          <w:sz w:val="24"/>
          <w:szCs w:val="20"/>
        </w:rPr>
        <w:t>e</w:t>
      </w:r>
      <w:r w:rsidR="00536514">
        <w:rPr>
          <w:rFonts w:ascii="Garamond" w:hAnsi="Garamond" w:cs="Times New Roman"/>
          <w:sz w:val="24"/>
          <w:szCs w:val="20"/>
        </w:rPr>
        <w:t xml:space="preserve"> will</w:t>
      </w:r>
      <w:r w:rsidR="00D545AE">
        <w:rPr>
          <w:rFonts w:ascii="Garamond" w:hAnsi="Garamond" w:cs="Times New Roman"/>
          <w:sz w:val="24"/>
          <w:szCs w:val="20"/>
        </w:rPr>
        <w:t xml:space="preserve"> </w:t>
      </w:r>
      <w:r w:rsidR="005563A1">
        <w:rPr>
          <w:rFonts w:ascii="Garamond" w:hAnsi="Garamond" w:cs="Times New Roman"/>
          <w:sz w:val="24"/>
          <w:szCs w:val="20"/>
        </w:rPr>
        <w:t xml:space="preserve">need to </w:t>
      </w:r>
      <w:r w:rsidR="006B5658">
        <w:rPr>
          <w:rFonts w:ascii="Garamond" w:hAnsi="Garamond" w:cs="Times New Roman"/>
          <w:sz w:val="24"/>
          <w:szCs w:val="20"/>
        </w:rPr>
        <w:t xml:space="preserve">guard against </w:t>
      </w:r>
      <w:r w:rsidR="00425F60">
        <w:rPr>
          <w:rFonts w:ascii="Garamond" w:hAnsi="Garamond" w:cs="Times New Roman"/>
          <w:sz w:val="24"/>
          <w:szCs w:val="20"/>
        </w:rPr>
        <w:t>this,</w:t>
      </w:r>
      <w:r w:rsidR="006B5658">
        <w:rPr>
          <w:rFonts w:ascii="Garamond" w:hAnsi="Garamond" w:cs="Times New Roman"/>
          <w:sz w:val="24"/>
          <w:szCs w:val="20"/>
        </w:rPr>
        <w:t xml:space="preserve"> </w:t>
      </w:r>
      <w:r w:rsidR="005563A1">
        <w:rPr>
          <w:rFonts w:ascii="Garamond" w:hAnsi="Garamond" w:cs="Times New Roman"/>
          <w:sz w:val="24"/>
          <w:szCs w:val="20"/>
        </w:rPr>
        <w:t>enrich</w:t>
      </w:r>
      <w:r w:rsidR="00425F60">
        <w:rPr>
          <w:rFonts w:ascii="Garamond" w:hAnsi="Garamond" w:cs="Times New Roman"/>
          <w:sz w:val="24"/>
          <w:szCs w:val="20"/>
        </w:rPr>
        <w:t>ing</w:t>
      </w:r>
      <w:r w:rsidR="005563A1">
        <w:rPr>
          <w:rFonts w:ascii="Garamond" w:hAnsi="Garamond" w:cs="Times New Roman"/>
          <w:sz w:val="24"/>
          <w:szCs w:val="20"/>
        </w:rPr>
        <w:t xml:space="preserve"> </w:t>
      </w:r>
      <w:r w:rsidR="00425F60">
        <w:rPr>
          <w:rFonts w:ascii="Garamond" w:hAnsi="Garamond" w:cs="Times New Roman"/>
          <w:sz w:val="24"/>
          <w:szCs w:val="20"/>
        </w:rPr>
        <w:t>possibly</w:t>
      </w:r>
      <w:r w:rsidR="00FC5FBC">
        <w:rPr>
          <w:rFonts w:ascii="Garamond" w:hAnsi="Garamond" w:cs="Times New Roman"/>
          <w:sz w:val="24"/>
          <w:szCs w:val="20"/>
        </w:rPr>
        <w:t xml:space="preserve"> </w:t>
      </w:r>
      <w:r w:rsidR="008C2579">
        <w:rPr>
          <w:rFonts w:ascii="Garamond" w:hAnsi="Garamond" w:cs="Times New Roman"/>
          <w:sz w:val="24"/>
          <w:szCs w:val="20"/>
        </w:rPr>
        <w:t xml:space="preserve">limited </w:t>
      </w:r>
      <w:r w:rsidR="005563A1">
        <w:rPr>
          <w:rFonts w:ascii="Garamond" w:hAnsi="Garamond" w:cs="Times New Roman"/>
          <w:sz w:val="24"/>
          <w:szCs w:val="20"/>
        </w:rPr>
        <w:t>stories with some of the stunning</w:t>
      </w:r>
      <w:r w:rsidR="00D92BE8">
        <w:rPr>
          <w:rFonts w:ascii="Garamond" w:hAnsi="Garamond" w:cs="Times New Roman"/>
          <w:sz w:val="24"/>
          <w:szCs w:val="20"/>
        </w:rPr>
        <w:t xml:space="preserve"> </w:t>
      </w:r>
      <w:r w:rsidR="00A6179B">
        <w:rPr>
          <w:rFonts w:ascii="Garamond" w:hAnsi="Garamond" w:cs="Times New Roman"/>
          <w:sz w:val="24"/>
          <w:szCs w:val="20"/>
        </w:rPr>
        <w:t xml:space="preserve">contextualized </w:t>
      </w:r>
      <w:r w:rsidR="005563A1">
        <w:rPr>
          <w:rFonts w:ascii="Garamond" w:hAnsi="Garamond" w:cs="Times New Roman"/>
          <w:sz w:val="24"/>
          <w:szCs w:val="20"/>
        </w:rPr>
        <w:t>success</w:t>
      </w:r>
      <w:r w:rsidR="00D92BE8">
        <w:rPr>
          <w:rFonts w:ascii="Garamond" w:hAnsi="Garamond" w:cs="Times New Roman"/>
          <w:sz w:val="24"/>
          <w:szCs w:val="20"/>
        </w:rPr>
        <w:t>es that no doubt every Adult Education program in every state will be</w:t>
      </w:r>
      <w:r w:rsidR="00297BAE">
        <w:rPr>
          <w:rFonts w:ascii="Garamond" w:hAnsi="Garamond" w:cs="Times New Roman"/>
          <w:sz w:val="24"/>
          <w:szCs w:val="20"/>
        </w:rPr>
        <w:t xml:space="preserve"> very </w:t>
      </w:r>
      <w:r w:rsidR="00791EE8">
        <w:rPr>
          <w:rFonts w:ascii="Garamond" w:hAnsi="Garamond" w:cs="Times New Roman"/>
          <w:sz w:val="24"/>
          <w:szCs w:val="20"/>
        </w:rPr>
        <w:t>willing</w:t>
      </w:r>
      <w:r w:rsidR="00D92BE8">
        <w:rPr>
          <w:rFonts w:ascii="Garamond" w:hAnsi="Garamond" w:cs="Times New Roman"/>
          <w:sz w:val="24"/>
          <w:szCs w:val="20"/>
        </w:rPr>
        <w:t xml:space="preserve"> and eager to share</w:t>
      </w:r>
      <w:r w:rsidR="008C2579">
        <w:rPr>
          <w:rFonts w:ascii="Garamond" w:hAnsi="Garamond" w:cs="Times New Roman"/>
          <w:sz w:val="24"/>
          <w:szCs w:val="20"/>
        </w:rPr>
        <w:t xml:space="preserve">, along with </w:t>
      </w:r>
      <w:r w:rsidR="00D545AE">
        <w:rPr>
          <w:rFonts w:ascii="Garamond" w:hAnsi="Garamond" w:cs="Times New Roman"/>
          <w:sz w:val="24"/>
          <w:szCs w:val="20"/>
        </w:rPr>
        <w:t xml:space="preserve">embracing some </w:t>
      </w:r>
      <w:r w:rsidR="008C2579">
        <w:rPr>
          <w:rFonts w:ascii="Garamond" w:hAnsi="Garamond" w:cs="Times New Roman"/>
          <w:sz w:val="24"/>
          <w:szCs w:val="20"/>
        </w:rPr>
        <w:t>lessons learned we would do well not to forget</w:t>
      </w:r>
      <w:r w:rsidR="006D3459">
        <w:rPr>
          <w:rFonts w:ascii="Garamond" w:hAnsi="Garamond" w:cs="Times New Roman"/>
          <w:sz w:val="24"/>
          <w:szCs w:val="20"/>
        </w:rPr>
        <w:t xml:space="preserve"> --</w:t>
      </w:r>
      <w:r w:rsidR="00D545AE">
        <w:rPr>
          <w:rFonts w:ascii="Garamond" w:hAnsi="Garamond" w:cs="Times New Roman"/>
          <w:sz w:val="24"/>
          <w:szCs w:val="20"/>
        </w:rPr>
        <w:t xml:space="preserve"> especially those centered around </w:t>
      </w:r>
      <w:r w:rsidR="00425F60">
        <w:rPr>
          <w:rFonts w:ascii="Garamond" w:hAnsi="Garamond" w:cs="Times New Roman"/>
          <w:sz w:val="24"/>
          <w:szCs w:val="20"/>
        </w:rPr>
        <w:t xml:space="preserve">critical </w:t>
      </w:r>
      <w:r w:rsidR="00D545AE">
        <w:rPr>
          <w:rFonts w:ascii="Garamond" w:hAnsi="Garamond" w:cs="Times New Roman"/>
          <w:sz w:val="24"/>
          <w:szCs w:val="20"/>
        </w:rPr>
        <w:t>equity issues.</w:t>
      </w:r>
      <w:r w:rsidR="00210021">
        <w:rPr>
          <w:rFonts w:ascii="Garamond" w:hAnsi="Garamond" w:cs="Times New Roman"/>
          <w:sz w:val="24"/>
          <w:szCs w:val="20"/>
        </w:rPr>
        <w:t xml:space="preserve">  </w:t>
      </w:r>
    </w:p>
    <w:p w:rsidR="00240833" w:rsidRPr="00B6468E" w:rsidRDefault="00240833" w:rsidP="00240833">
      <w:pPr>
        <w:spacing w:after="120"/>
        <w:ind w:right="72"/>
        <w:rPr>
          <w:rFonts w:ascii="Garamond" w:hAnsi="Garamond" w:cs="Times New Roman"/>
          <w:b/>
          <w:sz w:val="24"/>
          <w:szCs w:val="20"/>
          <w:u w:val="single"/>
        </w:rPr>
      </w:pPr>
      <w:r w:rsidRPr="00B6468E">
        <w:rPr>
          <w:rFonts w:ascii="Garamond" w:hAnsi="Garamond" w:cs="Times New Roman"/>
          <w:b/>
          <w:sz w:val="24"/>
          <w:szCs w:val="20"/>
          <w:u w:val="single"/>
        </w:rPr>
        <w:lastRenderedPageBreak/>
        <w:t>1. State Leadership Funds (AEFLA Section 223)</w:t>
      </w:r>
    </w:p>
    <w:p w:rsidR="00240833" w:rsidRDefault="00240833" w:rsidP="00240833">
      <w:pPr>
        <w:spacing w:after="120"/>
        <w:ind w:right="72"/>
        <w:rPr>
          <w:rFonts w:ascii="Garamond" w:hAnsi="Garamond" w:cs="Times New Roman"/>
          <w:b/>
          <w:sz w:val="24"/>
          <w:szCs w:val="20"/>
          <w:u w:val="single"/>
        </w:rPr>
      </w:pPr>
      <w:r w:rsidRPr="00240833">
        <w:rPr>
          <w:rFonts w:ascii="Garamond" w:hAnsi="Garamond" w:cs="Times New Roman"/>
          <w:b/>
          <w:sz w:val="24"/>
          <w:szCs w:val="20"/>
          <w:u w:val="single"/>
        </w:rPr>
        <w:t>(a) Describe how the State has used funds made available under section 223 (State Leadership</w:t>
      </w:r>
      <w:r>
        <w:rPr>
          <w:rFonts w:ascii="Garamond" w:hAnsi="Garamond" w:cs="Times New Roman"/>
          <w:b/>
          <w:sz w:val="24"/>
          <w:szCs w:val="20"/>
          <w:u w:val="single"/>
        </w:rPr>
        <w:t xml:space="preserve"> </w:t>
      </w:r>
      <w:r w:rsidRPr="00240833">
        <w:rPr>
          <w:rFonts w:ascii="Garamond" w:hAnsi="Garamond" w:cs="Times New Roman"/>
          <w:b/>
          <w:sz w:val="24"/>
          <w:szCs w:val="20"/>
          <w:u w:val="single"/>
        </w:rPr>
        <w:t>activities) for each the following required activities:</w:t>
      </w:r>
    </w:p>
    <w:p w:rsidR="00E24DD0" w:rsidRPr="00B10BFF" w:rsidRDefault="00240833" w:rsidP="00F57295">
      <w:pPr>
        <w:spacing w:after="120"/>
        <w:ind w:right="72"/>
        <w:rPr>
          <w:rFonts w:ascii="Garamond" w:hAnsi="Garamond" w:cs="Times New Roman"/>
          <w:b/>
          <w:iCs/>
          <w:sz w:val="24"/>
          <w:szCs w:val="20"/>
        </w:rPr>
      </w:pPr>
      <w:r w:rsidRPr="00B10BFF">
        <w:rPr>
          <w:rFonts w:ascii="Garamond" w:hAnsi="Garamond" w:cs="Times New Roman"/>
          <w:b/>
          <w:iCs/>
          <w:sz w:val="24"/>
          <w:szCs w:val="20"/>
        </w:rPr>
        <w:t>Alignment of adult education and literacy activities with other one-stop required partners to</w:t>
      </w:r>
      <w:r w:rsidRPr="00B10BFF">
        <w:rPr>
          <w:rFonts w:ascii="Garamond" w:hAnsi="Garamond" w:cs="Times New Roman"/>
          <w:b/>
          <w:sz w:val="24"/>
          <w:szCs w:val="20"/>
          <w:u w:val="single"/>
        </w:rPr>
        <w:t xml:space="preserve"> </w:t>
      </w:r>
      <w:r w:rsidRPr="00B10BFF">
        <w:rPr>
          <w:rFonts w:ascii="Garamond" w:hAnsi="Garamond" w:cs="Times New Roman"/>
          <w:b/>
          <w:iCs/>
          <w:sz w:val="24"/>
          <w:szCs w:val="20"/>
        </w:rPr>
        <w:t>implement the strategies in the Unified or Combined State Plan as described in section 223(1)(a).</w:t>
      </w:r>
      <w:r w:rsidR="00B10BFF">
        <w:rPr>
          <w:rFonts w:ascii="Garamond" w:hAnsi="Garamond" w:cs="Times New Roman"/>
          <w:b/>
          <w:iCs/>
          <w:sz w:val="24"/>
          <w:szCs w:val="20"/>
        </w:rPr>
        <w:t xml:space="preserve">  </w:t>
      </w:r>
      <w:r w:rsidR="00620893">
        <w:rPr>
          <w:rFonts w:ascii="Garamond" w:hAnsi="Garamond" w:cs="Times New Roman"/>
          <w:iCs/>
          <w:sz w:val="24"/>
          <w:szCs w:val="20"/>
        </w:rPr>
        <w:t>New Mexico invested the majority of funds made available under Section 223 in t</w:t>
      </w:r>
      <w:r w:rsidR="00967BBC">
        <w:rPr>
          <w:rFonts w:ascii="Garamond" w:hAnsi="Garamond" w:cs="Times New Roman"/>
          <w:iCs/>
          <w:sz w:val="24"/>
          <w:szCs w:val="20"/>
        </w:rPr>
        <w:t>hree</w:t>
      </w:r>
      <w:r w:rsidR="00620893">
        <w:rPr>
          <w:rFonts w:ascii="Garamond" w:hAnsi="Garamond" w:cs="Times New Roman"/>
          <w:iCs/>
          <w:sz w:val="24"/>
          <w:szCs w:val="20"/>
        </w:rPr>
        <w:t xml:space="preserve"> primary buckets:  (1) </w:t>
      </w:r>
      <w:r w:rsidR="00072E70">
        <w:rPr>
          <w:rFonts w:ascii="Garamond" w:hAnsi="Garamond" w:cs="Times New Roman"/>
          <w:iCs/>
          <w:sz w:val="24"/>
          <w:szCs w:val="20"/>
        </w:rPr>
        <w:t>Supporting the L</w:t>
      </w:r>
      <w:r w:rsidR="00967BBC">
        <w:rPr>
          <w:rFonts w:ascii="Garamond" w:hAnsi="Garamond" w:cs="Times New Roman"/>
          <w:iCs/>
          <w:sz w:val="24"/>
          <w:szCs w:val="20"/>
        </w:rPr>
        <w:t xml:space="preserve">iteracy Pro contract for </w:t>
      </w:r>
      <w:r w:rsidR="003F75EB">
        <w:rPr>
          <w:rFonts w:ascii="Garamond" w:hAnsi="Garamond" w:cs="Times New Roman"/>
          <w:iCs/>
          <w:sz w:val="24"/>
          <w:szCs w:val="20"/>
        </w:rPr>
        <w:t xml:space="preserve">our </w:t>
      </w:r>
      <w:r w:rsidR="00967BBC">
        <w:rPr>
          <w:rFonts w:ascii="Garamond" w:hAnsi="Garamond" w:cs="Times New Roman"/>
          <w:iCs/>
          <w:sz w:val="24"/>
          <w:szCs w:val="20"/>
        </w:rPr>
        <w:t xml:space="preserve">LACES </w:t>
      </w:r>
      <w:r w:rsidR="003F75EB">
        <w:rPr>
          <w:rFonts w:ascii="Garamond" w:hAnsi="Garamond" w:cs="Times New Roman"/>
          <w:iCs/>
          <w:sz w:val="24"/>
          <w:szCs w:val="20"/>
        </w:rPr>
        <w:t xml:space="preserve">database </w:t>
      </w:r>
      <w:r w:rsidR="00967BBC">
        <w:rPr>
          <w:rFonts w:ascii="Garamond" w:hAnsi="Garamond" w:cs="Times New Roman"/>
          <w:iCs/>
          <w:sz w:val="24"/>
          <w:szCs w:val="20"/>
        </w:rPr>
        <w:t xml:space="preserve">+ contract with Edmentum to provide Plato and other </w:t>
      </w:r>
      <w:r w:rsidR="009D0940">
        <w:rPr>
          <w:rFonts w:ascii="Garamond" w:hAnsi="Garamond" w:cs="Times New Roman"/>
          <w:iCs/>
          <w:sz w:val="24"/>
          <w:szCs w:val="20"/>
        </w:rPr>
        <w:t xml:space="preserve">customizable </w:t>
      </w:r>
      <w:r w:rsidR="00967BBC">
        <w:rPr>
          <w:rFonts w:ascii="Garamond" w:hAnsi="Garamond" w:cs="Times New Roman"/>
          <w:iCs/>
          <w:sz w:val="24"/>
          <w:szCs w:val="20"/>
        </w:rPr>
        <w:t xml:space="preserve">CCRS-aligned instructional </w:t>
      </w:r>
      <w:r w:rsidR="009D0940">
        <w:rPr>
          <w:rFonts w:ascii="Garamond" w:hAnsi="Garamond" w:cs="Times New Roman"/>
          <w:iCs/>
          <w:sz w:val="24"/>
          <w:szCs w:val="20"/>
        </w:rPr>
        <w:t xml:space="preserve">courseware to all local Adult Education programs statewide, </w:t>
      </w:r>
      <w:r w:rsidR="00620893">
        <w:rPr>
          <w:rFonts w:ascii="Garamond" w:hAnsi="Garamond" w:cs="Times New Roman"/>
          <w:iCs/>
          <w:sz w:val="24"/>
          <w:szCs w:val="20"/>
        </w:rPr>
        <w:t>(2) Professional development initiatives and opportunities, primarily for local programs/practitioners</w:t>
      </w:r>
      <w:r w:rsidR="009D0940">
        <w:rPr>
          <w:rFonts w:ascii="Garamond" w:hAnsi="Garamond" w:cs="Times New Roman"/>
          <w:iCs/>
          <w:sz w:val="24"/>
          <w:szCs w:val="20"/>
        </w:rPr>
        <w:t>, and (3) state staff salaries.</w:t>
      </w:r>
      <w:r w:rsidR="00620893">
        <w:rPr>
          <w:rFonts w:ascii="Garamond" w:hAnsi="Garamond" w:cs="Times New Roman"/>
          <w:iCs/>
          <w:sz w:val="24"/>
          <w:szCs w:val="20"/>
        </w:rPr>
        <w:t xml:space="preserve">  </w:t>
      </w:r>
      <w:r w:rsidR="009D0940">
        <w:rPr>
          <w:rFonts w:ascii="Garamond" w:hAnsi="Garamond" w:cs="Times New Roman"/>
          <w:iCs/>
          <w:sz w:val="24"/>
          <w:szCs w:val="20"/>
        </w:rPr>
        <w:t>Item one is self-explanatory and k</w:t>
      </w:r>
      <w:r w:rsidR="00DA31B0">
        <w:rPr>
          <w:rFonts w:ascii="Garamond" w:hAnsi="Garamond" w:cs="Times New Roman"/>
          <w:iCs/>
          <w:sz w:val="24"/>
          <w:szCs w:val="20"/>
        </w:rPr>
        <w:t xml:space="preserve">ey professional development initiatives will be discussed </w:t>
      </w:r>
      <w:r w:rsidR="006818AF">
        <w:rPr>
          <w:rFonts w:ascii="Garamond" w:hAnsi="Garamond" w:cs="Times New Roman"/>
          <w:iCs/>
          <w:sz w:val="24"/>
          <w:szCs w:val="20"/>
        </w:rPr>
        <w:t xml:space="preserve">in the next subsection </w:t>
      </w:r>
      <w:r w:rsidR="009D0940">
        <w:rPr>
          <w:rFonts w:ascii="Garamond" w:hAnsi="Garamond" w:cs="Times New Roman"/>
          <w:iCs/>
          <w:sz w:val="24"/>
          <w:szCs w:val="20"/>
        </w:rPr>
        <w:t>below</w:t>
      </w:r>
      <w:r w:rsidR="00DA31B0">
        <w:rPr>
          <w:rFonts w:ascii="Garamond" w:hAnsi="Garamond" w:cs="Times New Roman"/>
          <w:iCs/>
          <w:sz w:val="24"/>
          <w:szCs w:val="20"/>
        </w:rPr>
        <w:t xml:space="preserve">, so this </w:t>
      </w:r>
      <w:r w:rsidR="006818AF">
        <w:rPr>
          <w:rFonts w:ascii="Garamond" w:hAnsi="Garamond" w:cs="Times New Roman"/>
          <w:iCs/>
          <w:sz w:val="24"/>
          <w:szCs w:val="20"/>
        </w:rPr>
        <w:t>sub</w:t>
      </w:r>
      <w:r w:rsidR="00DA31B0">
        <w:rPr>
          <w:rFonts w:ascii="Garamond" w:hAnsi="Garamond" w:cs="Times New Roman"/>
          <w:iCs/>
          <w:sz w:val="24"/>
          <w:szCs w:val="20"/>
        </w:rPr>
        <w:t xml:space="preserve">section will </w:t>
      </w:r>
      <w:r w:rsidR="001E14DC">
        <w:rPr>
          <w:rFonts w:ascii="Garamond" w:hAnsi="Garamond" w:cs="Times New Roman"/>
          <w:iCs/>
          <w:sz w:val="24"/>
          <w:szCs w:val="20"/>
        </w:rPr>
        <w:t>highlight some</w:t>
      </w:r>
      <w:r w:rsidR="00DA31B0">
        <w:rPr>
          <w:rFonts w:ascii="Garamond" w:hAnsi="Garamond" w:cs="Times New Roman"/>
          <w:iCs/>
          <w:sz w:val="24"/>
          <w:szCs w:val="20"/>
        </w:rPr>
        <w:t xml:space="preserve"> elements related to (</w:t>
      </w:r>
      <w:r w:rsidR="009D0940">
        <w:rPr>
          <w:rFonts w:ascii="Garamond" w:hAnsi="Garamond" w:cs="Times New Roman"/>
          <w:iCs/>
          <w:sz w:val="24"/>
          <w:szCs w:val="20"/>
        </w:rPr>
        <w:t>3</w:t>
      </w:r>
      <w:r w:rsidR="00DA31B0">
        <w:rPr>
          <w:rFonts w:ascii="Garamond" w:hAnsi="Garamond" w:cs="Times New Roman"/>
          <w:iCs/>
          <w:sz w:val="24"/>
          <w:szCs w:val="20"/>
        </w:rPr>
        <w:t>).</w:t>
      </w:r>
    </w:p>
    <w:p w:rsidR="009022D3" w:rsidRDefault="007E2192" w:rsidP="009022D3">
      <w:pPr>
        <w:spacing w:after="120"/>
        <w:ind w:right="72"/>
        <w:rPr>
          <w:rFonts w:ascii="Garamond" w:hAnsi="Garamond" w:cs="Times New Roman"/>
          <w:iCs/>
          <w:sz w:val="24"/>
          <w:szCs w:val="20"/>
        </w:rPr>
      </w:pPr>
      <w:r w:rsidRPr="007E2192">
        <w:rPr>
          <w:rFonts w:ascii="Garamond" w:hAnsi="Garamond" w:cs="Times New Roman"/>
          <w:iCs/>
          <w:sz w:val="24"/>
          <w:szCs w:val="20"/>
        </w:rPr>
        <w:t>To support implementation of strategies and initiatives in New Mexico’s Combined State Plan, t</w:t>
      </w:r>
      <w:r w:rsidR="00F57295" w:rsidRPr="007E2192">
        <w:rPr>
          <w:rFonts w:ascii="Garamond" w:hAnsi="Garamond" w:cs="Times New Roman"/>
          <w:iCs/>
          <w:sz w:val="24"/>
          <w:szCs w:val="20"/>
        </w:rPr>
        <w:t xml:space="preserve">he State Director </w:t>
      </w:r>
      <w:r w:rsidR="0045445C">
        <w:rPr>
          <w:rFonts w:ascii="Garamond" w:hAnsi="Garamond" w:cs="Times New Roman"/>
          <w:iCs/>
          <w:sz w:val="24"/>
          <w:szCs w:val="20"/>
        </w:rPr>
        <w:t xml:space="preserve">continued to serve on the </w:t>
      </w:r>
      <w:r w:rsidR="00F218EF">
        <w:rPr>
          <w:rFonts w:ascii="Garamond" w:hAnsi="Garamond" w:cs="Times New Roman"/>
          <w:iCs/>
          <w:sz w:val="24"/>
          <w:szCs w:val="20"/>
        </w:rPr>
        <w:t xml:space="preserve">Economic Development Department’s </w:t>
      </w:r>
      <w:r w:rsidR="0045445C">
        <w:rPr>
          <w:rFonts w:ascii="Garamond" w:hAnsi="Garamond" w:cs="Times New Roman"/>
          <w:iCs/>
          <w:sz w:val="24"/>
          <w:szCs w:val="20"/>
        </w:rPr>
        <w:t>Job Training Incentive Program (JTIP) board</w:t>
      </w:r>
      <w:r w:rsidR="00F218EF">
        <w:rPr>
          <w:rFonts w:ascii="Garamond" w:hAnsi="Garamond" w:cs="Times New Roman"/>
          <w:iCs/>
          <w:sz w:val="24"/>
          <w:szCs w:val="20"/>
        </w:rPr>
        <w:t>, a major state workforce system investment initiative.</w:t>
      </w:r>
      <w:r w:rsidR="0045445C">
        <w:rPr>
          <w:rFonts w:ascii="Garamond" w:hAnsi="Garamond" w:cs="Times New Roman"/>
          <w:iCs/>
          <w:sz w:val="24"/>
          <w:szCs w:val="20"/>
        </w:rPr>
        <w:t xml:space="preserve">  The Director and </w:t>
      </w:r>
      <w:r w:rsidR="00F57295" w:rsidRPr="007E2192">
        <w:rPr>
          <w:rFonts w:ascii="Garamond" w:hAnsi="Garamond" w:cs="Times New Roman"/>
          <w:iCs/>
          <w:sz w:val="24"/>
          <w:szCs w:val="20"/>
        </w:rPr>
        <w:t xml:space="preserve">Outreach Coordinator </w:t>
      </w:r>
      <w:r w:rsidRPr="007E2192">
        <w:rPr>
          <w:rFonts w:ascii="Garamond" w:hAnsi="Garamond" w:cs="Times New Roman"/>
          <w:iCs/>
          <w:sz w:val="24"/>
          <w:szCs w:val="20"/>
        </w:rPr>
        <w:t xml:space="preserve">continued to </w:t>
      </w:r>
      <w:r w:rsidR="00F57295" w:rsidRPr="007E2192">
        <w:rPr>
          <w:rFonts w:ascii="Garamond" w:hAnsi="Garamond" w:cs="Times New Roman"/>
          <w:iCs/>
          <w:sz w:val="24"/>
          <w:szCs w:val="20"/>
        </w:rPr>
        <w:t>participate</w:t>
      </w:r>
      <w:r w:rsidRPr="007E2192">
        <w:rPr>
          <w:rFonts w:ascii="Garamond" w:hAnsi="Garamond" w:cs="Times New Roman"/>
          <w:iCs/>
          <w:sz w:val="24"/>
          <w:szCs w:val="20"/>
        </w:rPr>
        <w:t xml:space="preserve"> </w:t>
      </w:r>
      <w:r w:rsidR="00F57295" w:rsidRPr="007E2192">
        <w:rPr>
          <w:rFonts w:ascii="Garamond" w:hAnsi="Garamond" w:cs="Times New Roman"/>
          <w:iCs/>
          <w:sz w:val="24"/>
          <w:szCs w:val="20"/>
        </w:rPr>
        <w:t xml:space="preserve">in monthly </w:t>
      </w:r>
      <w:r w:rsidRPr="007E2192">
        <w:rPr>
          <w:rFonts w:ascii="Garamond" w:hAnsi="Garamond" w:cs="Times New Roman"/>
          <w:iCs/>
          <w:sz w:val="24"/>
          <w:szCs w:val="20"/>
        </w:rPr>
        <w:t xml:space="preserve">state-level </w:t>
      </w:r>
      <w:r w:rsidR="00F57295" w:rsidRPr="007E2192">
        <w:rPr>
          <w:rFonts w:ascii="Garamond" w:hAnsi="Garamond" w:cs="Times New Roman"/>
          <w:iCs/>
          <w:sz w:val="24"/>
          <w:szCs w:val="20"/>
        </w:rPr>
        <w:t xml:space="preserve">WIOA </w:t>
      </w:r>
      <w:r w:rsidR="00A72223">
        <w:rPr>
          <w:rFonts w:ascii="Garamond" w:hAnsi="Garamond" w:cs="Times New Roman"/>
          <w:iCs/>
          <w:sz w:val="24"/>
          <w:szCs w:val="20"/>
        </w:rPr>
        <w:t>p</w:t>
      </w:r>
      <w:r w:rsidR="00F57295" w:rsidRPr="007E2192">
        <w:rPr>
          <w:rFonts w:ascii="Garamond" w:hAnsi="Garamond" w:cs="Times New Roman"/>
          <w:iCs/>
          <w:sz w:val="24"/>
          <w:szCs w:val="20"/>
        </w:rPr>
        <w:t>artner meetings</w:t>
      </w:r>
      <w:r w:rsidR="0045445C">
        <w:rPr>
          <w:rFonts w:ascii="Garamond" w:hAnsi="Garamond" w:cs="Times New Roman"/>
          <w:iCs/>
          <w:sz w:val="24"/>
          <w:szCs w:val="20"/>
        </w:rPr>
        <w:t xml:space="preserve"> and </w:t>
      </w:r>
      <w:r w:rsidR="0004048B">
        <w:rPr>
          <w:rFonts w:ascii="Garamond" w:hAnsi="Garamond" w:cs="Times New Roman"/>
          <w:iCs/>
          <w:sz w:val="24"/>
          <w:szCs w:val="20"/>
        </w:rPr>
        <w:t xml:space="preserve">in all </w:t>
      </w:r>
      <w:r w:rsidR="0045445C">
        <w:rPr>
          <w:rFonts w:ascii="Garamond" w:hAnsi="Garamond" w:cs="Times New Roman"/>
          <w:iCs/>
          <w:sz w:val="24"/>
          <w:szCs w:val="20"/>
        </w:rPr>
        <w:t>state workforce board meetings</w:t>
      </w:r>
      <w:r w:rsidR="0004048B">
        <w:rPr>
          <w:rFonts w:ascii="Garamond" w:hAnsi="Garamond" w:cs="Times New Roman"/>
          <w:iCs/>
          <w:sz w:val="24"/>
          <w:szCs w:val="20"/>
        </w:rPr>
        <w:t>; t</w:t>
      </w:r>
      <w:r w:rsidR="00F57295" w:rsidRPr="007E2192">
        <w:rPr>
          <w:rFonts w:ascii="Garamond" w:hAnsi="Garamond" w:cs="Times New Roman"/>
          <w:iCs/>
          <w:sz w:val="24"/>
          <w:szCs w:val="20"/>
        </w:rPr>
        <w:t xml:space="preserve">he Outreach Coordinator </w:t>
      </w:r>
      <w:r w:rsidR="0004048B">
        <w:rPr>
          <w:rFonts w:ascii="Garamond" w:hAnsi="Garamond" w:cs="Times New Roman"/>
          <w:iCs/>
          <w:sz w:val="24"/>
          <w:szCs w:val="20"/>
        </w:rPr>
        <w:t>participate</w:t>
      </w:r>
      <w:r w:rsidR="007C088F">
        <w:rPr>
          <w:rFonts w:ascii="Garamond" w:hAnsi="Garamond" w:cs="Times New Roman"/>
          <w:iCs/>
          <w:sz w:val="24"/>
          <w:szCs w:val="20"/>
        </w:rPr>
        <w:t>d</w:t>
      </w:r>
      <w:r w:rsidR="00F57295" w:rsidRPr="007E2192">
        <w:rPr>
          <w:rFonts w:ascii="Garamond" w:hAnsi="Garamond" w:cs="Times New Roman"/>
          <w:iCs/>
          <w:sz w:val="24"/>
          <w:szCs w:val="20"/>
        </w:rPr>
        <w:t xml:space="preserve"> in </w:t>
      </w:r>
      <w:r w:rsidR="00DA31B0">
        <w:rPr>
          <w:rFonts w:ascii="Garamond" w:hAnsi="Garamond" w:cs="Times New Roman"/>
          <w:iCs/>
          <w:sz w:val="24"/>
          <w:szCs w:val="20"/>
        </w:rPr>
        <w:t xml:space="preserve">a </w:t>
      </w:r>
      <w:r w:rsidRPr="007E2192">
        <w:rPr>
          <w:rFonts w:ascii="Garamond" w:hAnsi="Garamond" w:cs="Times New Roman"/>
          <w:iCs/>
          <w:sz w:val="24"/>
          <w:szCs w:val="20"/>
        </w:rPr>
        <w:t xml:space="preserve">range of </w:t>
      </w:r>
      <w:r w:rsidR="002A17F4">
        <w:rPr>
          <w:rFonts w:ascii="Garamond" w:hAnsi="Garamond" w:cs="Times New Roman"/>
          <w:iCs/>
          <w:sz w:val="24"/>
          <w:szCs w:val="20"/>
        </w:rPr>
        <w:t xml:space="preserve">additional </w:t>
      </w:r>
      <w:r w:rsidR="00DA31B0">
        <w:rPr>
          <w:rFonts w:ascii="Garamond" w:hAnsi="Garamond" w:cs="Times New Roman"/>
          <w:iCs/>
          <w:sz w:val="24"/>
          <w:szCs w:val="20"/>
        </w:rPr>
        <w:t xml:space="preserve">regional </w:t>
      </w:r>
      <w:r w:rsidRPr="007E2192">
        <w:rPr>
          <w:rFonts w:ascii="Garamond" w:hAnsi="Garamond" w:cs="Times New Roman"/>
          <w:iCs/>
          <w:sz w:val="24"/>
          <w:szCs w:val="20"/>
        </w:rPr>
        <w:t>board/</w:t>
      </w:r>
      <w:r w:rsidR="00F57295" w:rsidRPr="007E2192">
        <w:rPr>
          <w:rFonts w:ascii="Garamond" w:hAnsi="Garamond" w:cs="Times New Roman"/>
          <w:iCs/>
          <w:sz w:val="24"/>
          <w:szCs w:val="20"/>
        </w:rPr>
        <w:t>partner meetings</w:t>
      </w:r>
      <w:r w:rsidR="00CF29CB">
        <w:rPr>
          <w:rFonts w:ascii="Garamond" w:hAnsi="Garamond" w:cs="Times New Roman"/>
          <w:iCs/>
          <w:sz w:val="24"/>
          <w:szCs w:val="20"/>
        </w:rPr>
        <w:t xml:space="preserve"> and was appointed to serve on the Central Region’s Eligible Training Provider subcommittee.</w:t>
      </w:r>
      <w:r w:rsidR="00DA31B0">
        <w:rPr>
          <w:rFonts w:ascii="Garamond" w:hAnsi="Garamond" w:cs="Times New Roman"/>
          <w:iCs/>
          <w:sz w:val="24"/>
          <w:szCs w:val="20"/>
        </w:rPr>
        <w:t xml:space="preserve">  </w:t>
      </w:r>
      <w:r w:rsidR="001012F3" w:rsidRPr="007E2192">
        <w:rPr>
          <w:rFonts w:ascii="Garamond" w:hAnsi="Garamond" w:cs="Times New Roman"/>
          <w:iCs/>
          <w:sz w:val="24"/>
          <w:szCs w:val="20"/>
        </w:rPr>
        <w:t xml:space="preserve">The role of NMHED-AE’s Outreach Coordinator was essentially created to assist NMHED-AE </w:t>
      </w:r>
      <w:r w:rsidRPr="007E2192">
        <w:rPr>
          <w:rFonts w:ascii="Garamond" w:hAnsi="Garamond" w:cs="Times New Roman"/>
          <w:iCs/>
          <w:sz w:val="24"/>
          <w:szCs w:val="20"/>
        </w:rPr>
        <w:t>in building truly</w:t>
      </w:r>
      <w:r w:rsidR="001012F3" w:rsidRPr="007E2192">
        <w:rPr>
          <w:rFonts w:ascii="Garamond" w:hAnsi="Garamond" w:cs="Times New Roman"/>
          <w:iCs/>
          <w:sz w:val="24"/>
          <w:szCs w:val="20"/>
        </w:rPr>
        <w:t xml:space="preserve"> collaborati</w:t>
      </w:r>
      <w:r w:rsidRPr="007E2192">
        <w:rPr>
          <w:rFonts w:ascii="Garamond" w:hAnsi="Garamond" w:cs="Times New Roman"/>
          <w:iCs/>
          <w:sz w:val="24"/>
          <w:szCs w:val="20"/>
        </w:rPr>
        <w:t>ve partnerships</w:t>
      </w:r>
      <w:r w:rsidR="003F75EB">
        <w:rPr>
          <w:rFonts w:ascii="Garamond" w:hAnsi="Garamond" w:cs="Times New Roman"/>
          <w:iCs/>
          <w:sz w:val="24"/>
          <w:szCs w:val="20"/>
        </w:rPr>
        <w:t xml:space="preserve"> at the state level and beyond</w:t>
      </w:r>
      <w:r w:rsidR="00841B92" w:rsidRPr="007E2192">
        <w:rPr>
          <w:rFonts w:ascii="Garamond" w:hAnsi="Garamond" w:cs="Times New Roman"/>
          <w:iCs/>
          <w:sz w:val="24"/>
          <w:szCs w:val="20"/>
        </w:rPr>
        <w:t xml:space="preserve">, </w:t>
      </w:r>
      <w:r w:rsidRPr="007E2192">
        <w:rPr>
          <w:rFonts w:ascii="Garamond" w:hAnsi="Garamond" w:cs="Times New Roman"/>
          <w:iCs/>
          <w:sz w:val="24"/>
          <w:szCs w:val="20"/>
        </w:rPr>
        <w:t>and PY 19/20 was a very productive year on this front</w:t>
      </w:r>
      <w:r w:rsidR="009B6610">
        <w:rPr>
          <w:rFonts w:ascii="Garamond" w:hAnsi="Garamond" w:cs="Times New Roman"/>
          <w:iCs/>
          <w:sz w:val="24"/>
          <w:szCs w:val="20"/>
        </w:rPr>
        <w:t>.</w:t>
      </w:r>
      <w:r w:rsidRPr="007E2192">
        <w:rPr>
          <w:rFonts w:ascii="Garamond" w:hAnsi="Garamond" w:cs="Times New Roman"/>
          <w:iCs/>
          <w:sz w:val="24"/>
          <w:szCs w:val="20"/>
        </w:rPr>
        <w:t xml:space="preserve">  </w:t>
      </w:r>
      <w:r w:rsidR="00F57295" w:rsidRPr="007E2192">
        <w:rPr>
          <w:rFonts w:ascii="Garamond" w:hAnsi="Garamond" w:cs="Times New Roman"/>
          <w:iCs/>
          <w:sz w:val="24"/>
          <w:szCs w:val="20"/>
        </w:rPr>
        <w:t xml:space="preserve">New Mexico’s new </w:t>
      </w:r>
      <w:r w:rsidR="00620893" w:rsidRPr="007E2192">
        <w:rPr>
          <w:rFonts w:ascii="Garamond" w:hAnsi="Garamond" w:cs="Times New Roman"/>
          <w:iCs/>
          <w:sz w:val="24"/>
          <w:szCs w:val="20"/>
        </w:rPr>
        <w:t xml:space="preserve">Combined State </w:t>
      </w:r>
      <w:r w:rsidR="00F57295" w:rsidRPr="007E2192">
        <w:rPr>
          <w:rFonts w:ascii="Garamond" w:hAnsi="Garamond" w:cs="Times New Roman"/>
          <w:iCs/>
          <w:sz w:val="24"/>
          <w:szCs w:val="20"/>
        </w:rPr>
        <w:t xml:space="preserve">Plan was created during this reporting year, and the Outreach Coordinator was heavily involved in collaborative planning efforts with </w:t>
      </w:r>
      <w:r w:rsidR="0086336A">
        <w:rPr>
          <w:rFonts w:ascii="Garamond" w:hAnsi="Garamond" w:cs="Times New Roman"/>
          <w:iCs/>
          <w:sz w:val="24"/>
          <w:szCs w:val="20"/>
        </w:rPr>
        <w:t xml:space="preserve">all core </w:t>
      </w:r>
      <w:r w:rsidR="00F57295" w:rsidRPr="007E2192">
        <w:rPr>
          <w:rFonts w:ascii="Garamond" w:hAnsi="Garamond" w:cs="Times New Roman"/>
          <w:iCs/>
          <w:sz w:val="24"/>
          <w:szCs w:val="20"/>
        </w:rPr>
        <w:t>partners at the state level</w:t>
      </w:r>
      <w:r w:rsidR="00CA28D1">
        <w:rPr>
          <w:rFonts w:ascii="Garamond" w:hAnsi="Garamond" w:cs="Times New Roman"/>
          <w:iCs/>
          <w:sz w:val="24"/>
          <w:szCs w:val="20"/>
        </w:rPr>
        <w:t>, as well as serving as the primary architect for the AEFLA-specific sections of the Plan.</w:t>
      </w:r>
      <w:r w:rsidR="00620893" w:rsidRPr="007E2192">
        <w:rPr>
          <w:rFonts w:ascii="Garamond" w:hAnsi="Garamond" w:cs="Times New Roman"/>
          <w:iCs/>
          <w:sz w:val="24"/>
          <w:szCs w:val="20"/>
        </w:rPr>
        <w:t xml:space="preserve">  In terms of </w:t>
      </w:r>
      <w:r w:rsidR="00620893" w:rsidRPr="0086336A">
        <w:rPr>
          <w:rFonts w:ascii="Garamond" w:hAnsi="Garamond" w:cs="Times New Roman"/>
          <w:i/>
          <w:iCs/>
          <w:sz w:val="24"/>
          <w:szCs w:val="20"/>
        </w:rPr>
        <w:t xml:space="preserve">actual </w:t>
      </w:r>
      <w:r w:rsidR="00620893" w:rsidRPr="007E2192">
        <w:rPr>
          <w:rFonts w:ascii="Garamond" w:hAnsi="Garamond" w:cs="Times New Roman"/>
          <w:i/>
          <w:iCs/>
          <w:sz w:val="24"/>
          <w:szCs w:val="20"/>
        </w:rPr>
        <w:t>collaborative planning</w:t>
      </w:r>
      <w:r w:rsidR="00620893" w:rsidRPr="007E2192">
        <w:rPr>
          <w:rFonts w:ascii="Garamond" w:hAnsi="Garamond" w:cs="Times New Roman"/>
          <w:iCs/>
          <w:sz w:val="24"/>
          <w:szCs w:val="20"/>
        </w:rPr>
        <w:t xml:space="preserve">, </w:t>
      </w:r>
      <w:r w:rsidR="00DA31B0">
        <w:rPr>
          <w:rFonts w:ascii="Garamond" w:hAnsi="Garamond" w:cs="Times New Roman"/>
          <w:iCs/>
          <w:sz w:val="24"/>
          <w:szCs w:val="20"/>
        </w:rPr>
        <w:t xml:space="preserve">we are happy to share that </w:t>
      </w:r>
      <w:r w:rsidR="00620893" w:rsidRPr="007E2192">
        <w:rPr>
          <w:rFonts w:ascii="Garamond" w:hAnsi="Garamond" w:cs="Times New Roman"/>
          <w:iCs/>
          <w:sz w:val="24"/>
          <w:szCs w:val="20"/>
        </w:rPr>
        <w:t xml:space="preserve">this year’s process was </w:t>
      </w:r>
      <w:r w:rsidR="00DA31B0">
        <w:rPr>
          <w:rFonts w:ascii="Garamond" w:hAnsi="Garamond" w:cs="Times New Roman"/>
          <w:iCs/>
          <w:sz w:val="24"/>
          <w:szCs w:val="20"/>
        </w:rPr>
        <w:t>infinitely more effective than</w:t>
      </w:r>
      <w:r w:rsidR="00620893" w:rsidRPr="007E2192">
        <w:rPr>
          <w:rFonts w:ascii="Garamond" w:hAnsi="Garamond" w:cs="Times New Roman"/>
          <w:iCs/>
          <w:sz w:val="24"/>
          <w:szCs w:val="20"/>
        </w:rPr>
        <w:t xml:space="preserve"> the last round of </w:t>
      </w:r>
      <w:r w:rsidRPr="007E2192">
        <w:rPr>
          <w:rFonts w:ascii="Garamond" w:hAnsi="Garamond" w:cs="Times New Roman"/>
          <w:iCs/>
          <w:sz w:val="24"/>
          <w:szCs w:val="20"/>
        </w:rPr>
        <w:t>State P</w:t>
      </w:r>
      <w:r w:rsidR="00620893" w:rsidRPr="007E2192">
        <w:rPr>
          <w:rFonts w:ascii="Garamond" w:hAnsi="Garamond" w:cs="Times New Roman"/>
          <w:iCs/>
          <w:sz w:val="24"/>
          <w:szCs w:val="20"/>
        </w:rPr>
        <w:t xml:space="preserve">lan </w:t>
      </w:r>
      <w:r w:rsidR="003B56E1">
        <w:rPr>
          <w:rFonts w:ascii="Garamond" w:hAnsi="Garamond" w:cs="Times New Roman"/>
          <w:iCs/>
          <w:sz w:val="24"/>
          <w:szCs w:val="20"/>
        </w:rPr>
        <w:t>assembly</w:t>
      </w:r>
      <w:r w:rsidR="009022D3">
        <w:rPr>
          <w:rFonts w:ascii="Garamond" w:hAnsi="Garamond" w:cs="Times New Roman"/>
          <w:iCs/>
          <w:sz w:val="24"/>
          <w:szCs w:val="20"/>
        </w:rPr>
        <w:t xml:space="preserve"> (</w:t>
      </w:r>
      <w:r w:rsidR="00E16FD0">
        <w:rPr>
          <w:rFonts w:ascii="Garamond" w:hAnsi="Garamond" w:cs="Times New Roman"/>
          <w:iCs/>
          <w:sz w:val="24"/>
          <w:szCs w:val="20"/>
        </w:rPr>
        <w:t xml:space="preserve">where essentially core </w:t>
      </w:r>
      <w:r w:rsidR="00CA28D1">
        <w:rPr>
          <w:rFonts w:ascii="Garamond" w:hAnsi="Garamond" w:cs="Times New Roman"/>
          <w:iCs/>
          <w:sz w:val="24"/>
          <w:szCs w:val="20"/>
        </w:rPr>
        <w:t xml:space="preserve">WIOA </w:t>
      </w:r>
      <w:r w:rsidR="00E16FD0">
        <w:rPr>
          <w:rFonts w:ascii="Garamond" w:hAnsi="Garamond" w:cs="Times New Roman"/>
          <w:iCs/>
          <w:sz w:val="24"/>
          <w:szCs w:val="20"/>
        </w:rPr>
        <w:t xml:space="preserve">Titles independently wrote their sections of the plan without much discussion or </w:t>
      </w:r>
      <w:r w:rsidR="001E14DC">
        <w:rPr>
          <w:rFonts w:ascii="Garamond" w:hAnsi="Garamond" w:cs="Times New Roman"/>
          <w:iCs/>
          <w:sz w:val="24"/>
          <w:szCs w:val="20"/>
        </w:rPr>
        <w:t>collaboration</w:t>
      </w:r>
      <w:r w:rsidR="00E16FD0">
        <w:rPr>
          <w:rFonts w:ascii="Garamond" w:hAnsi="Garamond" w:cs="Times New Roman"/>
          <w:iCs/>
          <w:sz w:val="24"/>
          <w:szCs w:val="20"/>
        </w:rPr>
        <w:t xml:space="preserve"> and then submitted them independently to DWS, who compiled everything </w:t>
      </w:r>
      <w:r w:rsidR="0045445C">
        <w:rPr>
          <w:rFonts w:ascii="Garamond" w:hAnsi="Garamond" w:cs="Times New Roman"/>
          <w:iCs/>
          <w:sz w:val="24"/>
          <w:szCs w:val="20"/>
        </w:rPr>
        <w:t>into a single document</w:t>
      </w:r>
      <w:r w:rsidR="009022D3">
        <w:rPr>
          <w:rFonts w:ascii="Garamond" w:hAnsi="Garamond" w:cs="Times New Roman"/>
          <w:iCs/>
          <w:sz w:val="24"/>
          <w:szCs w:val="20"/>
        </w:rPr>
        <w:t>)</w:t>
      </w:r>
      <w:r w:rsidR="0045445C">
        <w:rPr>
          <w:rFonts w:ascii="Garamond" w:hAnsi="Garamond" w:cs="Times New Roman"/>
          <w:iCs/>
          <w:sz w:val="24"/>
          <w:szCs w:val="20"/>
        </w:rPr>
        <w:t xml:space="preserve">.  This </w:t>
      </w:r>
      <w:r w:rsidR="00697F1F">
        <w:rPr>
          <w:rFonts w:ascii="Garamond" w:hAnsi="Garamond" w:cs="Times New Roman"/>
          <w:iCs/>
          <w:sz w:val="24"/>
          <w:szCs w:val="20"/>
        </w:rPr>
        <w:t>round was</w:t>
      </w:r>
      <w:r w:rsidR="0086336A">
        <w:rPr>
          <w:rFonts w:ascii="Garamond" w:hAnsi="Garamond" w:cs="Times New Roman"/>
          <w:iCs/>
          <w:sz w:val="24"/>
          <w:szCs w:val="20"/>
        </w:rPr>
        <w:t xml:space="preserve"> </w:t>
      </w:r>
      <w:r w:rsidR="0045445C">
        <w:rPr>
          <w:rFonts w:ascii="Garamond" w:hAnsi="Garamond" w:cs="Times New Roman"/>
          <w:iCs/>
          <w:sz w:val="24"/>
          <w:szCs w:val="20"/>
        </w:rPr>
        <w:t>different</w:t>
      </w:r>
      <w:r w:rsidR="0086336A">
        <w:rPr>
          <w:rFonts w:ascii="Garamond" w:hAnsi="Garamond" w:cs="Times New Roman"/>
          <w:iCs/>
          <w:sz w:val="24"/>
          <w:szCs w:val="20"/>
        </w:rPr>
        <w:t>; l</w:t>
      </w:r>
      <w:r w:rsidR="00620893" w:rsidRPr="007E2192">
        <w:rPr>
          <w:rFonts w:ascii="Garamond" w:hAnsi="Garamond" w:cs="Times New Roman"/>
          <w:iCs/>
          <w:sz w:val="24"/>
          <w:szCs w:val="20"/>
        </w:rPr>
        <w:t xml:space="preserve">ocal NM nonprofit </w:t>
      </w:r>
      <w:r w:rsidR="00620893" w:rsidRPr="00DE7697">
        <w:rPr>
          <w:rFonts w:ascii="Garamond" w:hAnsi="Garamond" w:cs="Times New Roman"/>
          <w:i/>
          <w:iCs/>
          <w:sz w:val="24"/>
          <w:szCs w:val="20"/>
        </w:rPr>
        <w:t xml:space="preserve">New Mexico </w:t>
      </w:r>
      <w:r w:rsidR="00DA31B0" w:rsidRPr="00DE7697">
        <w:rPr>
          <w:rFonts w:ascii="Garamond" w:hAnsi="Garamond" w:cs="Times New Roman"/>
          <w:i/>
          <w:iCs/>
          <w:sz w:val="24"/>
          <w:szCs w:val="20"/>
        </w:rPr>
        <w:t>F</w:t>
      </w:r>
      <w:r w:rsidR="00620893" w:rsidRPr="00DE7697">
        <w:rPr>
          <w:rFonts w:ascii="Garamond" w:hAnsi="Garamond" w:cs="Times New Roman"/>
          <w:i/>
          <w:iCs/>
          <w:sz w:val="24"/>
          <w:szCs w:val="20"/>
        </w:rPr>
        <w:t>irst</w:t>
      </w:r>
      <w:r w:rsidR="00620893" w:rsidRPr="007E2192">
        <w:rPr>
          <w:rFonts w:ascii="Garamond" w:hAnsi="Garamond" w:cs="Times New Roman"/>
          <w:iCs/>
          <w:sz w:val="24"/>
          <w:szCs w:val="20"/>
        </w:rPr>
        <w:t xml:space="preserve"> was hired to </w:t>
      </w:r>
      <w:r w:rsidR="004A3E13">
        <w:rPr>
          <w:rFonts w:ascii="Garamond" w:hAnsi="Garamond" w:cs="Times New Roman"/>
          <w:iCs/>
          <w:sz w:val="24"/>
          <w:szCs w:val="20"/>
        </w:rPr>
        <w:t xml:space="preserve">design and </w:t>
      </w:r>
      <w:r w:rsidR="00620893" w:rsidRPr="007E2192">
        <w:rPr>
          <w:rFonts w:ascii="Garamond" w:hAnsi="Garamond" w:cs="Times New Roman"/>
          <w:iCs/>
          <w:sz w:val="24"/>
          <w:szCs w:val="20"/>
        </w:rPr>
        <w:t xml:space="preserve">facilitate </w:t>
      </w:r>
      <w:r w:rsidR="004A3E13">
        <w:rPr>
          <w:rFonts w:ascii="Garamond" w:hAnsi="Garamond" w:cs="Times New Roman"/>
          <w:iCs/>
          <w:sz w:val="24"/>
          <w:szCs w:val="20"/>
        </w:rPr>
        <w:t>a</w:t>
      </w:r>
      <w:r w:rsidR="00620893" w:rsidRPr="007E2192">
        <w:rPr>
          <w:rFonts w:ascii="Garamond" w:hAnsi="Garamond" w:cs="Times New Roman"/>
          <w:iCs/>
          <w:sz w:val="24"/>
          <w:szCs w:val="20"/>
        </w:rPr>
        <w:t xml:space="preserve"> </w:t>
      </w:r>
      <w:r w:rsidR="0045445C">
        <w:rPr>
          <w:rFonts w:ascii="Garamond" w:hAnsi="Garamond" w:cs="Times New Roman"/>
          <w:iCs/>
          <w:sz w:val="24"/>
          <w:szCs w:val="20"/>
        </w:rPr>
        <w:t xml:space="preserve">longitudinal and highly participatory </w:t>
      </w:r>
      <w:r w:rsidR="00620893" w:rsidRPr="007E2192">
        <w:rPr>
          <w:rFonts w:ascii="Garamond" w:hAnsi="Garamond" w:cs="Times New Roman"/>
          <w:iCs/>
          <w:sz w:val="24"/>
          <w:szCs w:val="20"/>
        </w:rPr>
        <w:t>planning and</w:t>
      </w:r>
      <w:r w:rsidRPr="007E2192">
        <w:rPr>
          <w:rFonts w:ascii="Garamond" w:hAnsi="Garamond" w:cs="Times New Roman"/>
          <w:iCs/>
          <w:sz w:val="24"/>
          <w:szCs w:val="20"/>
        </w:rPr>
        <w:t xml:space="preserve"> </w:t>
      </w:r>
      <w:r w:rsidR="00620893" w:rsidRPr="007E2192">
        <w:rPr>
          <w:rFonts w:ascii="Garamond" w:hAnsi="Garamond" w:cs="Times New Roman"/>
          <w:iCs/>
          <w:sz w:val="24"/>
          <w:szCs w:val="20"/>
        </w:rPr>
        <w:t>collaboration proces</w:t>
      </w:r>
      <w:r w:rsidR="0045445C">
        <w:rPr>
          <w:rFonts w:ascii="Garamond" w:hAnsi="Garamond" w:cs="Times New Roman"/>
          <w:iCs/>
          <w:sz w:val="24"/>
          <w:szCs w:val="20"/>
        </w:rPr>
        <w:t>s</w:t>
      </w:r>
      <w:r w:rsidR="0004048B">
        <w:rPr>
          <w:rFonts w:ascii="Garamond" w:hAnsi="Garamond" w:cs="Times New Roman"/>
          <w:iCs/>
          <w:sz w:val="24"/>
          <w:szCs w:val="20"/>
        </w:rPr>
        <w:t xml:space="preserve"> to create New Mexico’s new Combined State Plan</w:t>
      </w:r>
      <w:r w:rsidR="00DA31B0">
        <w:rPr>
          <w:rFonts w:ascii="Garamond" w:hAnsi="Garamond" w:cs="Times New Roman"/>
          <w:iCs/>
          <w:sz w:val="24"/>
          <w:szCs w:val="20"/>
        </w:rPr>
        <w:t>.</w:t>
      </w:r>
      <w:r w:rsidR="009022D3">
        <w:rPr>
          <w:rFonts w:ascii="Garamond" w:hAnsi="Garamond" w:cs="Times New Roman"/>
          <w:iCs/>
          <w:sz w:val="24"/>
          <w:szCs w:val="20"/>
        </w:rPr>
        <w:t xml:space="preserve">  </w:t>
      </w:r>
      <w:r w:rsidR="00312417">
        <w:rPr>
          <w:rFonts w:ascii="Garamond" w:hAnsi="Garamond" w:cs="Times New Roman"/>
          <w:iCs/>
          <w:sz w:val="24"/>
          <w:szCs w:val="20"/>
        </w:rPr>
        <w:t>A similar</w:t>
      </w:r>
      <w:r w:rsidR="009022D3">
        <w:rPr>
          <w:rFonts w:ascii="Garamond" w:hAnsi="Garamond" w:cs="Times New Roman"/>
          <w:iCs/>
          <w:sz w:val="24"/>
          <w:szCs w:val="20"/>
        </w:rPr>
        <w:t xml:space="preserve"> structured </w:t>
      </w:r>
      <w:r w:rsidR="008F5470">
        <w:rPr>
          <w:rFonts w:ascii="Garamond" w:hAnsi="Garamond" w:cs="Times New Roman"/>
          <w:iCs/>
          <w:sz w:val="24"/>
          <w:szCs w:val="20"/>
        </w:rPr>
        <w:t xml:space="preserve">and consultant-led </w:t>
      </w:r>
      <w:r w:rsidR="003B56E1">
        <w:rPr>
          <w:rFonts w:ascii="Garamond" w:hAnsi="Garamond" w:cs="Times New Roman"/>
          <w:iCs/>
          <w:sz w:val="24"/>
          <w:szCs w:val="20"/>
        </w:rPr>
        <w:t>process</w:t>
      </w:r>
      <w:r w:rsidR="009022D3">
        <w:rPr>
          <w:rFonts w:ascii="Garamond" w:hAnsi="Garamond" w:cs="Times New Roman"/>
          <w:iCs/>
          <w:sz w:val="24"/>
          <w:szCs w:val="20"/>
        </w:rPr>
        <w:t xml:space="preserve"> spearheaded by </w:t>
      </w:r>
      <w:r w:rsidR="00DE7697">
        <w:rPr>
          <w:rFonts w:ascii="Garamond" w:hAnsi="Garamond" w:cs="Times New Roman"/>
          <w:iCs/>
          <w:sz w:val="24"/>
          <w:szCs w:val="20"/>
        </w:rPr>
        <w:t>the state</w:t>
      </w:r>
      <w:r w:rsidR="009022D3">
        <w:rPr>
          <w:rFonts w:ascii="Garamond" w:hAnsi="Garamond" w:cs="Times New Roman"/>
          <w:iCs/>
          <w:sz w:val="24"/>
          <w:szCs w:val="20"/>
        </w:rPr>
        <w:t xml:space="preserve"> </w:t>
      </w:r>
      <w:r w:rsidR="00DE7697">
        <w:rPr>
          <w:rFonts w:ascii="Garamond" w:hAnsi="Garamond" w:cs="Times New Roman"/>
          <w:iCs/>
          <w:sz w:val="24"/>
          <w:szCs w:val="20"/>
        </w:rPr>
        <w:t>w</w:t>
      </w:r>
      <w:r w:rsidR="009022D3">
        <w:rPr>
          <w:rFonts w:ascii="Garamond" w:hAnsi="Garamond" w:cs="Times New Roman"/>
          <w:iCs/>
          <w:sz w:val="24"/>
          <w:szCs w:val="20"/>
        </w:rPr>
        <w:t xml:space="preserve">orkforce </w:t>
      </w:r>
      <w:r w:rsidR="00DE7697">
        <w:rPr>
          <w:rFonts w:ascii="Garamond" w:hAnsi="Garamond" w:cs="Times New Roman"/>
          <w:iCs/>
          <w:sz w:val="24"/>
          <w:szCs w:val="20"/>
        </w:rPr>
        <w:t>b</w:t>
      </w:r>
      <w:r w:rsidR="009022D3">
        <w:rPr>
          <w:rFonts w:ascii="Garamond" w:hAnsi="Garamond" w:cs="Times New Roman"/>
          <w:iCs/>
          <w:sz w:val="24"/>
          <w:szCs w:val="20"/>
        </w:rPr>
        <w:t xml:space="preserve">oard Chair and </w:t>
      </w:r>
      <w:r w:rsidR="0044396D">
        <w:rPr>
          <w:rFonts w:ascii="Garamond" w:hAnsi="Garamond" w:cs="Times New Roman"/>
          <w:iCs/>
          <w:sz w:val="24"/>
          <w:szCs w:val="20"/>
        </w:rPr>
        <w:t>the NM Public Education Department (</w:t>
      </w:r>
      <w:r w:rsidR="009022D3">
        <w:rPr>
          <w:rFonts w:ascii="Garamond" w:hAnsi="Garamond" w:cs="Times New Roman"/>
          <w:iCs/>
          <w:sz w:val="24"/>
          <w:szCs w:val="20"/>
        </w:rPr>
        <w:t>College and Career Readiness Bureau) engage</w:t>
      </w:r>
      <w:r w:rsidR="00312417">
        <w:rPr>
          <w:rFonts w:ascii="Garamond" w:hAnsi="Garamond" w:cs="Times New Roman"/>
          <w:iCs/>
          <w:sz w:val="24"/>
          <w:szCs w:val="20"/>
        </w:rPr>
        <w:t>d</w:t>
      </w:r>
      <w:r w:rsidR="009022D3">
        <w:rPr>
          <w:rFonts w:ascii="Garamond" w:hAnsi="Garamond" w:cs="Times New Roman"/>
          <w:iCs/>
          <w:sz w:val="24"/>
          <w:szCs w:val="20"/>
        </w:rPr>
        <w:t xml:space="preserve"> employers and key stakeholders</w:t>
      </w:r>
      <w:r w:rsidR="00312417">
        <w:rPr>
          <w:rFonts w:ascii="Garamond" w:hAnsi="Garamond" w:cs="Times New Roman"/>
          <w:iCs/>
          <w:sz w:val="24"/>
          <w:szCs w:val="20"/>
        </w:rPr>
        <w:t xml:space="preserve">—including Adult Education—in </w:t>
      </w:r>
      <w:r w:rsidR="009022D3">
        <w:rPr>
          <w:rFonts w:ascii="Garamond" w:hAnsi="Garamond" w:cs="Times New Roman"/>
          <w:iCs/>
          <w:sz w:val="24"/>
          <w:szCs w:val="20"/>
        </w:rPr>
        <w:t xml:space="preserve">statewide planning efforts around </w:t>
      </w:r>
      <w:r w:rsidR="00DE0647">
        <w:rPr>
          <w:rFonts w:ascii="Garamond" w:hAnsi="Garamond" w:cs="Times New Roman"/>
          <w:iCs/>
          <w:sz w:val="24"/>
          <w:szCs w:val="20"/>
        </w:rPr>
        <w:t>the new Perkins V Plan</w:t>
      </w:r>
      <w:r w:rsidR="00AC4E0D">
        <w:rPr>
          <w:rFonts w:ascii="Garamond" w:hAnsi="Garamond" w:cs="Times New Roman"/>
          <w:iCs/>
          <w:sz w:val="24"/>
          <w:szCs w:val="20"/>
        </w:rPr>
        <w:t xml:space="preserve"> </w:t>
      </w:r>
      <w:r w:rsidR="00312417">
        <w:rPr>
          <w:rFonts w:ascii="Garamond" w:hAnsi="Garamond" w:cs="Times New Roman"/>
          <w:iCs/>
          <w:sz w:val="24"/>
          <w:szCs w:val="20"/>
        </w:rPr>
        <w:t xml:space="preserve">with a focus on </w:t>
      </w:r>
      <w:r w:rsidR="00297BAE">
        <w:rPr>
          <w:rFonts w:ascii="Garamond" w:hAnsi="Garamond" w:cs="Times New Roman"/>
          <w:iCs/>
          <w:sz w:val="24"/>
          <w:szCs w:val="20"/>
        </w:rPr>
        <w:t xml:space="preserve">alignment and </w:t>
      </w:r>
      <w:r w:rsidR="00312417">
        <w:rPr>
          <w:rFonts w:ascii="Garamond" w:hAnsi="Garamond" w:cs="Times New Roman"/>
          <w:iCs/>
          <w:sz w:val="24"/>
          <w:szCs w:val="20"/>
        </w:rPr>
        <w:t xml:space="preserve">mobilizing the creation of state/regional sector strategies, a key </w:t>
      </w:r>
      <w:r w:rsidR="009B6610">
        <w:rPr>
          <w:rFonts w:ascii="Garamond" w:hAnsi="Garamond" w:cs="Times New Roman"/>
          <w:iCs/>
          <w:sz w:val="24"/>
          <w:szCs w:val="20"/>
        </w:rPr>
        <w:t>strategic</w:t>
      </w:r>
      <w:r w:rsidR="00312417">
        <w:rPr>
          <w:rFonts w:ascii="Garamond" w:hAnsi="Garamond" w:cs="Times New Roman"/>
          <w:iCs/>
          <w:sz w:val="24"/>
          <w:szCs w:val="20"/>
        </w:rPr>
        <w:t xml:space="preserve"> priority in the Combined State Plan.</w:t>
      </w:r>
      <w:r w:rsidR="008F5470">
        <w:rPr>
          <w:rFonts w:ascii="Garamond" w:hAnsi="Garamond" w:cs="Times New Roman"/>
          <w:iCs/>
          <w:sz w:val="24"/>
          <w:szCs w:val="20"/>
        </w:rPr>
        <w:t xml:space="preserve">  </w:t>
      </w:r>
    </w:p>
    <w:p w:rsidR="00B80645" w:rsidRDefault="009022D3" w:rsidP="007D631F">
      <w:pPr>
        <w:spacing w:after="120"/>
        <w:ind w:right="72"/>
        <w:rPr>
          <w:rFonts w:ascii="Garamond" w:hAnsi="Garamond"/>
          <w:iCs/>
          <w:sz w:val="24"/>
          <w:szCs w:val="20"/>
        </w:rPr>
      </w:pPr>
      <w:r w:rsidRPr="00B10BFF">
        <w:rPr>
          <w:rFonts w:ascii="Garamond" w:hAnsi="Garamond" w:cs="Times New Roman"/>
          <w:b/>
          <w:iCs/>
          <w:sz w:val="24"/>
          <w:szCs w:val="20"/>
        </w:rPr>
        <w:t>The esta</w:t>
      </w:r>
      <w:r w:rsidR="00240833" w:rsidRPr="00B10BFF">
        <w:rPr>
          <w:rFonts w:ascii="Garamond" w:hAnsi="Garamond" w:cs="Times New Roman"/>
          <w:b/>
          <w:iCs/>
          <w:sz w:val="24"/>
          <w:szCs w:val="20"/>
        </w:rPr>
        <w:t>blishment or operation of a high</w:t>
      </w:r>
      <w:r w:rsidR="00AA2781" w:rsidRPr="00B10BFF">
        <w:rPr>
          <w:rFonts w:ascii="Garamond" w:hAnsi="Garamond" w:cs="Times New Roman"/>
          <w:b/>
          <w:iCs/>
          <w:sz w:val="24"/>
          <w:szCs w:val="20"/>
        </w:rPr>
        <w:t>-</w:t>
      </w:r>
      <w:r w:rsidR="00240833" w:rsidRPr="00B10BFF">
        <w:rPr>
          <w:rFonts w:ascii="Garamond" w:hAnsi="Garamond" w:cs="Times New Roman"/>
          <w:b/>
          <w:iCs/>
          <w:sz w:val="24"/>
          <w:szCs w:val="20"/>
        </w:rPr>
        <w:t>quality professional development programs as described in section 223(1)(b).</w:t>
      </w:r>
      <w:r w:rsidR="00B10BFF">
        <w:rPr>
          <w:rFonts w:ascii="Garamond" w:hAnsi="Garamond"/>
          <w:iCs/>
          <w:sz w:val="24"/>
          <w:szCs w:val="20"/>
        </w:rPr>
        <w:t xml:space="preserve">  </w:t>
      </w:r>
      <w:r w:rsidR="00E77847" w:rsidRPr="00D42B0A">
        <w:rPr>
          <w:rFonts w:ascii="Garamond" w:hAnsi="Garamond"/>
          <w:iCs/>
          <w:sz w:val="24"/>
          <w:szCs w:val="20"/>
        </w:rPr>
        <w:t>In the previous reporting year,</w:t>
      </w:r>
      <w:r w:rsidR="00913466" w:rsidRPr="00D42B0A">
        <w:rPr>
          <w:rFonts w:ascii="Garamond" w:hAnsi="Garamond"/>
          <w:iCs/>
          <w:sz w:val="24"/>
          <w:szCs w:val="20"/>
        </w:rPr>
        <w:t xml:space="preserve"> </w:t>
      </w:r>
      <w:r w:rsidR="003F75EB" w:rsidRPr="00D42B0A">
        <w:rPr>
          <w:rFonts w:ascii="Garamond" w:hAnsi="Garamond"/>
          <w:iCs/>
          <w:sz w:val="24"/>
          <w:szCs w:val="20"/>
        </w:rPr>
        <w:t>NM</w:t>
      </w:r>
      <w:r w:rsidR="00913466" w:rsidRPr="00D42B0A">
        <w:rPr>
          <w:rFonts w:ascii="Garamond" w:hAnsi="Garamond"/>
          <w:iCs/>
          <w:sz w:val="24"/>
          <w:szCs w:val="20"/>
        </w:rPr>
        <w:t>HED-AE</w:t>
      </w:r>
      <w:r w:rsidR="003F75EB" w:rsidRPr="00D42B0A">
        <w:rPr>
          <w:rFonts w:ascii="Garamond" w:hAnsi="Garamond"/>
          <w:iCs/>
          <w:sz w:val="24"/>
          <w:szCs w:val="20"/>
        </w:rPr>
        <w:t xml:space="preserve"> </w:t>
      </w:r>
      <w:r w:rsidR="00691C4E">
        <w:rPr>
          <w:rFonts w:ascii="Garamond" w:hAnsi="Garamond"/>
          <w:iCs/>
          <w:sz w:val="24"/>
          <w:szCs w:val="20"/>
        </w:rPr>
        <w:t xml:space="preserve">formally </w:t>
      </w:r>
      <w:r w:rsidR="00E77847" w:rsidRPr="00D42B0A">
        <w:rPr>
          <w:rFonts w:ascii="Garamond" w:hAnsi="Garamond"/>
          <w:iCs/>
          <w:sz w:val="24"/>
          <w:szCs w:val="20"/>
        </w:rPr>
        <w:t>partnered</w:t>
      </w:r>
      <w:r w:rsidR="003F75EB" w:rsidRPr="00D42B0A">
        <w:rPr>
          <w:rFonts w:ascii="Garamond" w:hAnsi="Garamond"/>
          <w:iCs/>
          <w:sz w:val="24"/>
          <w:szCs w:val="20"/>
        </w:rPr>
        <w:t xml:space="preserve"> with </w:t>
      </w:r>
      <w:r w:rsidR="00E77847" w:rsidRPr="00D42B0A">
        <w:rPr>
          <w:rFonts w:ascii="Garamond" w:hAnsi="Garamond"/>
          <w:iCs/>
          <w:sz w:val="24"/>
          <w:szCs w:val="20"/>
        </w:rPr>
        <w:t xml:space="preserve">LINCS and </w:t>
      </w:r>
      <w:r w:rsidR="007D25F8" w:rsidRPr="00D42B0A">
        <w:rPr>
          <w:rFonts w:ascii="Garamond" w:hAnsi="Garamond"/>
          <w:iCs/>
          <w:sz w:val="24"/>
          <w:szCs w:val="20"/>
        </w:rPr>
        <w:t xml:space="preserve">worked with </w:t>
      </w:r>
      <w:r w:rsidR="003F75EB" w:rsidRPr="00D42B0A">
        <w:rPr>
          <w:rFonts w:ascii="Garamond" w:hAnsi="Garamond"/>
          <w:iCs/>
          <w:sz w:val="24"/>
          <w:szCs w:val="20"/>
        </w:rPr>
        <w:t>a</w:t>
      </w:r>
      <w:r w:rsidR="002C119D" w:rsidRPr="00D42B0A">
        <w:rPr>
          <w:rFonts w:ascii="Garamond" w:hAnsi="Garamond"/>
          <w:iCs/>
          <w:sz w:val="24"/>
          <w:szCs w:val="20"/>
        </w:rPr>
        <w:t xml:space="preserve"> </w:t>
      </w:r>
      <w:r w:rsidR="003F75EB" w:rsidRPr="00D42B0A">
        <w:rPr>
          <w:rFonts w:ascii="Garamond" w:hAnsi="Garamond"/>
          <w:iCs/>
          <w:sz w:val="24"/>
          <w:szCs w:val="20"/>
        </w:rPr>
        <w:t xml:space="preserve">committee of </w:t>
      </w:r>
      <w:r w:rsidR="00DB35E7">
        <w:rPr>
          <w:rFonts w:ascii="Garamond" w:hAnsi="Garamond"/>
          <w:iCs/>
          <w:sz w:val="24"/>
          <w:szCs w:val="20"/>
        </w:rPr>
        <w:t xml:space="preserve">statewide adult education </w:t>
      </w:r>
      <w:r w:rsidR="003F75EB" w:rsidRPr="00D42B0A">
        <w:rPr>
          <w:rFonts w:ascii="Garamond" w:hAnsi="Garamond"/>
          <w:iCs/>
          <w:sz w:val="24"/>
          <w:szCs w:val="20"/>
        </w:rPr>
        <w:t xml:space="preserve">stakeholders to complete </w:t>
      </w:r>
      <w:r w:rsidR="00691C4E">
        <w:rPr>
          <w:rFonts w:ascii="Garamond" w:hAnsi="Garamond"/>
          <w:iCs/>
          <w:sz w:val="24"/>
          <w:szCs w:val="20"/>
        </w:rPr>
        <w:t xml:space="preserve">and analyze </w:t>
      </w:r>
      <w:r w:rsidR="003F75EB" w:rsidRPr="00D42B0A">
        <w:rPr>
          <w:rFonts w:ascii="Garamond" w:hAnsi="Garamond"/>
          <w:iCs/>
          <w:sz w:val="24"/>
          <w:szCs w:val="20"/>
        </w:rPr>
        <w:t>the</w:t>
      </w:r>
      <w:r w:rsidR="002C119D" w:rsidRPr="00D42B0A">
        <w:rPr>
          <w:rFonts w:ascii="Garamond" w:hAnsi="Garamond"/>
          <w:iCs/>
          <w:sz w:val="24"/>
          <w:szCs w:val="20"/>
        </w:rPr>
        <w:t xml:space="preserve"> </w:t>
      </w:r>
      <w:r w:rsidR="003F75EB" w:rsidRPr="00D42B0A">
        <w:rPr>
          <w:rFonts w:ascii="Garamond" w:hAnsi="Garamond"/>
          <w:iCs/>
          <w:sz w:val="24"/>
          <w:szCs w:val="20"/>
        </w:rPr>
        <w:t>LINCS Professional Development Self-Assessment Tool</w:t>
      </w:r>
      <w:r w:rsidR="00691C4E">
        <w:rPr>
          <w:rFonts w:ascii="Garamond" w:hAnsi="Garamond"/>
          <w:iCs/>
          <w:sz w:val="24"/>
          <w:szCs w:val="20"/>
        </w:rPr>
        <w:t>,</w:t>
      </w:r>
      <w:r w:rsidR="00E77847" w:rsidRPr="00D42B0A">
        <w:rPr>
          <w:rFonts w:ascii="Garamond" w:hAnsi="Garamond"/>
          <w:iCs/>
          <w:sz w:val="24"/>
          <w:szCs w:val="20"/>
        </w:rPr>
        <w:t xml:space="preserve"> and subsequently began </w:t>
      </w:r>
      <w:r w:rsidR="003F75EB" w:rsidRPr="00D42B0A">
        <w:rPr>
          <w:rFonts w:ascii="Garamond" w:hAnsi="Garamond"/>
          <w:iCs/>
          <w:sz w:val="24"/>
          <w:szCs w:val="20"/>
        </w:rPr>
        <w:t xml:space="preserve">to move forward with the process of </w:t>
      </w:r>
      <w:r w:rsidR="00DB35E7">
        <w:rPr>
          <w:rFonts w:ascii="Garamond" w:hAnsi="Garamond"/>
          <w:iCs/>
          <w:sz w:val="24"/>
          <w:szCs w:val="20"/>
        </w:rPr>
        <w:t>planning for the development of a</w:t>
      </w:r>
      <w:r w:rsidR="003F75EB" w:rsidRPr="00D42B0A">
        <w:rPr>
          <w:rFonts w:ascii="Garamond" w:hAnsi="Garamond"/>
          <w:iCs/>
          <w:sz w:val="24"/>
          <w:szCs w:val="20"/>
        </w:rPr>
        <w:t xml:space="preserve"> </w:t>
      </w:r>
      <w:r w:rsidR="00EF2E08">
        <w:rPr>
          <w:rFonts w:ascii="Garamond" w:hAnsi="Garamond"/>
          <w:iCs/>
          <w:sz w:val="24"/>
          <w:szCs w:val="20"/>
        </w:rPr>
        <w:t>s</w:t>
      </w:r>
      <w:r w:rsidR="003F75EB" w:rsidRPr="00D42B0A">
        <w:rPr>
          <w:rFonts w:ascii="Garamond" w:hAnsi="Garamond"/>
          <w:iCs/>
          <w:sz w:val="24"/>
          <w:szCs w:val="20"/>
        </w:rPr>
        <w:t xml:space="preserve">tatewide </w:t>
      </w:r>
      <w:r w:rsidR="00EF2E08">
        <w:rPr>
          <w:rFonts w:ascii="Garamond" w:hAnsi="Garamond"/>
          <w:iCs/>
          <w:sz w:val="24"/>
          <w:szCs w:val="20"/>
        </w:rPr>
        <w:t>p</w:t>
      </w:r>
      <w:r w:rsidR="003F75EB" w:rsidRPr="00D42B0A">
        <w:rPr>
          <w:rFonts w:ascii="Garamond" w:hAnsi="Garamond"/>
          <w:iCs/>
          <w:sz w:val="24"/>
          <w:szCs w:val="20"/>
        </w:rPr>
        <w:t xml:space="preserve">rofessional </w:t>
      </w:r>
      <w:r w:rsidR="00EF2E08">
        <w:rPr>
          <w:rFonts w:ascii="Garamond" w:hAnsi="Garamond"/>
          <w:iCs/>
          <w:sz w:val="24"/>
          <w:szCs w:val="20"/>
        </w:rPr>
        <w:t>d</w:t>
      </w:r>
      <w:r w:rsidR="003F75EB" w:rsidRPr="00D42B0A">
        <w:rPr>
          <w:rFonts w:ascii="Garamond" w:hAnsi="Garamond"/>
          <w:iCs/>
          <w:sz w:val="24"/>
          <w:szCs w:val="20"/>
        </w:rPr>
        <w:t xml:space="preserve">evelopment </w:t>
      </w:r>
      <w:r w:rsidR="00EF2E08">
        <w:rPr>
          <w:rFonts w:ascii="Garamond" w:hAnsi="Garamond"/>
          <w:iCs/>
          <w:sz w:val="24"/>
          <w:szCs w:val="20"/>
        </w:rPr>
        <w:t>s</w:t>
      </w:r>
      <w:r w:rsidR="003F75EB" w:rsidRPr="00D42B0A">
        <w:rPr>
          <w:rFonts w:ascii="Garamond" w:hAnsi="Garamond"/>
          <w:iCs/>
          <w:sz w:val="24"/>
          <w:szCs w:val="20"/>
        </w:rPr>
        <w:t>ystem</w:t>
      </w:r>
      <w:r w:rsidR="00E77847" w:rsidRPr="00D42B0A">
        <w:rPr>
          <w:rFonts w:ascii="Garamond" w:hAnsi="Garamond"/>
          <w:iCs/>
          <w:sz w:val="24"/>
          <w:szCs w:val="20"/>
        </w:rPr>
        <w:t xml:space="preserve">.  </w:t>
      </w:r>
      <w:r w:rsidR="007F54A7" w:rsidRPr="00D42B0A">
        <w:rPr>
          <w:rFonts w:ascii="Garamond" w:hAnsi="Garamond"/>
          <w:iCs/>
          <w:sz w:val="24"/>
          <w:szCs w:val="20"/>
        </w:rPr>
        <w:t xml:space="preserve">PY </w:t>
      </w:r>
      <w:r w:rsidR="00A612AA">
        <w:rPr>
          <w:rFonts w:ascii="Garamond" w:hAnsi="Garamond"/>
          <w:iCs/>
          <w:sz w:val="24"/>
          <w:szCs w:val="20"/>
        </w:rPr>
        <w:t>20</w:t>
      </w:r>
      <w:r w:rsidR="007F54A7" w:rsidRPr="00D42B0A">
        <w:rPr>
          <w:rFonts w:ascii="Garamond" w:hAnsi="Garamond"/>
          <w:iCs/>
          <w:sz w:val="24"/>
          <w:szCs w:val="20"/>
        </w:rPr>
        <w:t>19/</w:t>
      </w:r>
      <w:r w:rsidR="00A612AA">
        <w:rPr>
          <w:rFonts w:ascii="Garamond" w:hAnsi="Garamond"/>
          <w:iCs/>
          <w:sz w:val="24"/>
          <w:szCs w:val="20"/>
        </w:rPr>
        <w:t>20</w:t>
      </w:r>
      <w:r w:rsidR="007F54A7" w:rsidRPr="00D42B0A">
        <w:rPr>
          <w:rFonts w:ascii="Garamond" w:hAnsi="Garamond"/>
          <w:iCs/>
          <w:sz w:val="24"/>
          <w:szCs w:val="20"/>
        </w:rPr>
        <w:t xml:space="preserve">20 </w:t>
      </w:r>
      <w:r w:rsidR="00516E84" w:rsidRPr="00D42B0A">
        <w:rPr>
          <w:rFonts w:ascii="Garamond" w:hAnsi="Garamond"/>
          <w:iCs/>
          <w:sz w:val="24"/>
          <w:szCs w:val="20"/>
        </w:rPr>
        <w:t>marked the beginning of a three-year plan to</w:t>
      </w:r>
      <w:r w:rsidR="00AC156A" w:rsidRPr="00D42B0A">
        <w:rPr>
          <w:rFonts w:ascii="Garamond" w:hAnsi="Garamond"/>
          <w:iCs/>
          <w:sz w:val="24"/>
          <w:szCs w:val="20"/>
        </w:rPr>
        <w:t xml:space="preserve"> step up state leadership efforts on this front</w:t>
      </w:r>
      <w:r w:rsidR="00052A28">
        <w:rPr>
          <w:rFonts w:ascii="Garamond" w:hAnsi="Garamond"/>
          <w:iCs/>
          <w:sz w:val="24"/>
          <w:szCs w:val="20"/>
        </w:rPr>
        <w:t>.  Our</w:t>
      </w:r>
      <w:r w:rsidR="00516E84" w:rsidRPr="00D42B0A">
        <w:rPr>
          <w:rFonts w:ascii="Garamond" w:hAnsi="Garamond"/>
          <w:iCs/>
          <w:sz w:val="24"/>
          <w:szCs w:val="20"/>
        </w:rPr>
        <w:t xml:space="preserve"> focus </w:t>
      </w:r>
      <w:r w:rsidR="00052A28">
        <w:rPr>
          <w:rFonts w:ascii="Garamond" w:hAnsi="Garamond"/>
          <w:iCs/>
          <w:sz w:val="24"/>
          <w:szCs w:val="20"/>
        </w:rPr>
        <w:t xml:space="preserve">is </w:t>
      </w:r>
      <w:r w:rsidR="00516E84" w:rsidRPr="00D42B0A">
        <w:rPr>
          <w:rFonts w:ascii="Garamond" w:hAnsi="Garamond"/>
          <w:iCs/>
          <w:sz w:val="24"/>
          <w:szCs w:val="20"/>
        </w:rPr>
        <w:t xml:space="preserve">on the </w:t>
      </w:r>
      <w:r w:rsidR="00AC156A" w:rsidRPr="00D42B0A">
        <w:rPr>
          <w:rFonts w:ascii="Garamond" w:hAnsi="Garamond"/>
          <w:iCs/>
          <w:sz w:val="24"/>
          <w:szCs w:val="20"/>
        </w:rPr>
        <w:t xml:space="preserve">reshaping and </w:t>
      </w:r>
      <w:r w:rsidR="00516E84" w:rsidRPr="00D42B0A">
        <w:rPr>
          <w:rFonts w:ascii="Garamond" w:hAnsi="Garamond"/>
          <w:iCs/>
          <w:sz w:val="24"/>
          <w:szCs w:val="20"/>
        </w:rPr>
        <w:t xml:space="preserve">synthesis of </w:t>
      </w:r>
      <w:r w:rsidR="00AC156A" w:rsidRPr="00D42B0A">
        <w:rPr>
          <w:rFonts w:ascii="Garamond" w:hAnsi="Garamond"/>
          <w:iCs/>
          <w:sz w:val="24"/>
          <w:szCs w:val="20"/>
        </w:rPr>
        <w:t>past successful</w:t>
      </w:r>
      <w:r w:rsidR="00052A28">
        <w:rPr>
          <w:rFonts w:ascii="Garamond" w:hAnsi="Garamond"/>
          <w:iCs/>
          <w:sz w:val="24"/>
          <w:szCs w:val="20"/>
        </w:rPr>
        <w:t xml:space="preserve"> </w:t>
      </w:r>
      <w:r w:rsidR="00AC156A" w:rsidRPr="00D42B0A">
        <w:rPr>
          <w:rFonts w:ascii="Garamond" w:hAnsi="Garamond"/>
          <w:iCs/>
          <w:sz w:val="24"/>
          <w:szCs w:val="20"/>
        </w:rPr>
        <w:t xml:space="preserve">but </w:t>
      </w:r>
      <w:r w:rsidR="00516E84" w:rsidRPr="00D42B0A">
        <w:rPr>
          <w:rFonts w:ascii="Garamond" w:hAnsi="Garamond"/>
          <w:iCs/>
          <w:sz w:val="24"/>
          <w:szCs w:val="20"/>
        </w:rPr>
        <w:lastRenderedPageBreak/>
        <w:t>relatively siloed</w:t>
      </w:r>
      <w:r w:rsidR="00052A28">
        <w:rPr>
          <w:rFonts w:ascii="Garamond" w:hAnsi="Garamond"/>
          <w:iCs/>
          <w:sz w:val="24"/>
          <w:szCs w:val="20"/>
        </w:rPr>
        <w:t xml:space="preserve"> </w:t>
      </w:r>
      <w:r w:rsidR="00516E84" w:rsidRPr="00D42B0A">
        <w:rPr>
          <w:rFonts w:ascii="Garamond" w:hAnsi="Garamond"/>
          <w:iCs/>
          <w:sz w:val="24"/>
          <w:szCs w:val="20"/>
        </w:rPr>
        <w:t xml:space="preserve">efforts like </w:t>
      </w:r>
      <w:r w:rsidR="003F75EB" w:rsidRPr="00D42B0A">
        <w:rPr>
          <w:rFonts w:ascii="Garamond" w:hAnsi="Garamond"/>
          <w:iCs/>
          <w:sz w:val="24"/>
          <w:szCs w:val="20"/>
        </w:rPr>
        <w:t>the</w:t>
      </w:r>
      <w:r w:rsidR="00052A28">
        <w:rPr>
          <w:rFonts w:ascii="Garamond" w:hAnsi="Garamond"/>
          <w:iCs/>
          <w:sz w:val="24"/>
          <w:szCs w:val="20"/>
        </w:rPr>
        <w:t xml:space="preserve"> state-sponsored</w:t>
      </w:r>
      <w:r w:rsidR="003F75EB" w:rsidRPr="00D42B0A">
        <w:rPr>
          <w:rFonts w:ascii="Garamond" w:hAnsi="Garamond"/>
          <w:iCs/>
          <w:sz w:val="24"/>
          <w:szCs w:val="20"/>
        </w:rPr>
        <w:t xml:space="preserve"> Distance Education and Learning Technologi</w:t>
      </w:r>
      <w:r w:rsidR="00B708E6">
        <w:rPr>
          <w:rFonts w:ascii="Garamond" w:hAnsi="Garamond"/>
          <w:iCs/>
          <w:sz w:val="24"/>
          <w:szCs w:val="20"/>
        </w:rPr>
        <w:t>es</w:t>
      </w:r>
      <w:r w:rsidR="003F75EB" w:rsidRPr="00D42B0A">
        <w:rPr>
          <w:rFonts w:ascii="Garamond" w:hAnsi="Garamond"/>
          <w:iCs/>
          <w:sz w:val="24"/>
          <w:szCs w:val="20"/>
        </w:rPr>
        <w:t xml:space="preserve"> </w:t>
      </w:r>
      <w:r w:rsidR="00691C4E">
        <w:rPr>
          <w:rFonts w:ascii="Garamond" w:hAnsi="Garamond"/>
          <w:iCs/>
          <w:sz w:val="24"/>
          <w:szCs w:val="20"/>
        </w:rPr>
        <w:t xml:space="preserve">(DELT) </w:t>
      </w:r>
      <w:r w:rsidR="003F75EB" w:rsidRPr="00D42B0A">
        <w:rPr>
          <w:rFonts w:ascii="Garamond" w:hAnsi="Garamond"/>
          <w:iCs/>
          <w:sz w:val="24"/>
          <w:szCs w:val="20"/>
        </w:rPr>
        <w:t>project and the</w:t>
      </w:r>
      <w:r w:rsidR="00052A28">
        <w:rPr>
          <w:rFonts w:ascii="Garamond" w:hAnsi="Garamond"/>
          <w:iCs/>
          <w:sz w:val="24"/>
          <w:szCs w:val="20"/>
        </w:rPr>
        <w:t xml:space="preserve"> state-sponsored</w:t>
      </w:r>
      <w:r w:rsidR="003F75EB" w:rsidRPr="00D42B0A">
        <w:rPr>
          <w:rFonts w:ascii="Garamond" w:hAnsi="Garamond"/>
          <w:iCs/>
          <w:sz w:val="24"/>
          <w:szCs w:val="20"/>
        </w:rPr>
        <w:t xml:space="preserve"> C3 </w:t>
      </w:r>
      <w:r w:rsidR="00052A28">
        <w:rPr>
          <w:rFonts w:ascii="Garamond" w:hAnsi="Garamond"/>
          <w:iCs/>
          <w:sz w:val="24"/>
          <w:szCs w:val="20"/>
        </w:rPr>
        <w:t>i</w:t>
      </w:r>
      <w:r w:rsidR="003F75EB" w:rsidRPr="00D42B0A">
        <w:rPr>
          <w:rFonts w:ascii="Garamond" w:hAnsi="Garamond"/>
          <w:iCs/>
          <w:sz w:val="24"/>
          <w:szCs w:val="20"/>
        </w:rPr>
        <w:t>nitiative</w:t>
      </w:r>
      <w:r w:rsidR="00EF2E08">
        <w:rPr>
          <w:rFonts w:ascii="Garamond" w:hAnsi="Garamond"/>
          <w:iCs/>
          <w:sz w:val="24"/>
          <w:szCs w:val="20"/>
        </w:rPr>
        <w:t xml:space="preserve"> </w:t>
      </w:r>
      <w:r w:rsidR="00052A28">
        <w:rPr>
          <w:rFonts w:ascii="Garamond" w:hAnsi="Garamond"/>
          <w:iCs/>
          <w:sz w:val="24"/>
          <w:szCs w:val="20"/>
        </w:rPr>
        <w:t>into</w:t>
      </w:r>
      <w:r w:rsidR="00691C4E">
        <w:rPr>
          <w:rFonts w:ascii="Garamond" w:hAnsi="Garamond"/>
          <w:iCs/>
          <w:sz w:val="24"/>
          <w:szCs w:val="20"/>
        </w:rPr>
        <w:t xml:space="preserve"> a larger, more cohesive system</w:t>
      </w:r>
      <w:r w:rsidR="00AC156A" w:rsidRPr="00D42B0A">
        <w:rPr>
          <w:rFonts w:ascii="Garamond" w:hAnsi="Garamond"/>
          <w:iCs/>
          <w:sz w:val="24"/>
          <w:szCs w:val="20"/>
        </w:rPr>
        <w:t xml:space="preserve"> to facilitate wider reach and </w:t>
      </w:r>
      <w:r w:rsidR="00691C4E">
        <w:rPr>
          <w:rFonts w:ascii="Garamond" w:hAnsi="Garamond"/>
          <w:iCs/>
          <w:sz w:val="24"/>
          <w:szCs w:val="20"/>
        </w:rPr>
        <w:t xml:space="preserve">further enhance </w:t>
      </w:r>
      <w:r w:rsidR="00052A28">
        <w:rPr>
          <w:rFonts w:ascii="Garamond" w:hAnsi="Garamond"/>
          <w:iCs/>
          <w:sz w:val="24"/>
          <w:szCs w:val="20"/>
        </w:rPr>
        <w:t xml:space="preserve">PD </w:t>
      </w:r>
      <w:r w:rsidR="00AC156A" w:rsidRPr="00D42B0A">
        <w:rPr>
          <w:rFonts w:ascii="Garamond" w:hAnsi="Garamond"/>
          <w:iCs/>
          <w:sz w:val="24"/>
          <w:szCs w:val="20"/>
        </w:rPr>
        <w:t xml:space="preserve">efficacy.  </w:t>
      </w:r>
      <w:r w:rsidR="00691C4E">
        <w:rPr>
          <w:rFonts w:ascii="Garamond" w:hAnsi="Garamond"/>
          <w:iCs/>
          <w:sz w:val="24"/>
          <w:szCs w:val="20"/>
        </w:rPr>
        <w:t xml:space="preserve">To this end, </w:t>
      </w:r>
      <w:r w:rsidR="002C119D" w:rsidRPr="00D42B0A">
        <w:rPr>
          <w:rFonts w:ascii="Garamond" w:hAnsi="Garamond"/>
          <w:iCs/>
          <w:sz w:val="24"/>
          <w:szCs w:val="20"/>
        </w:rPr>
        <w:t>NMHED-AE issued a contract to the University of New Mexico</w:t>
      </w:r>
      <w:r w:rsidR="00052A28">
        <w:rPr>
          <w:rFonts w:ascii="Garamond" w:hAnsi="Garamond"/>
          <w:iCs/>
          <w:sz w:val="24"/>
          <w:szCs w:val="20"/>
        </w:rPr>
        <w:t xml:space="preserve"> </w:t>
      </w:r>
      <w:r w:rsidR="002C119D" w:rsidRPr="00D42B0A">
        <w:rPr>
          <w:rFonts w:ascii="Garamond" w:hAnsi="Garamond"/>
          <w:iCs/>
          <w:sz w:val="24"/>
          <w:szCs w:val="20"/>
        </w:rPr>
        <w:t>to support a ¾ time PD Coordinator</w:t>
      </w:r>
      <w:r w:rsidR="00052A28">
        <w:rPr>
          <w:rFonts w:ascii="Garamond" w:hAnsi="Garamond"/>
          <w:iCs/>
          <w:sz w:val="24"/>
          <w:szCs w:val="20"/>
        </w:rPr>
        <w:t xml:space="preserve">.  The role of this person </w:t>
      </w:r>
      <w:r w:rsidR="00EF2E08">
        <w:rPr>
          <w:rFonts w:ascii="Garamond" w:hAnsi="Garamond"/>
          <w:iCs/>
          <w:sz w:val="24"/>
          <w:szCs w:val="20"/>
        </w:rPr>
        <w:t>was/i</w:t>
      </w:r>
      <w:r w:rsidR="00052A28">
        <w:rPr>
          <w:rFonts w:ascii="Garamond" w:hAnsi="Garamond"/>
          <w:iCs/>
          <w:sz w:val="24"/>
          <w:szCs w:val="20"/>
        </w:rPr>
        <w:t>s to</w:t>
      </w:r>
      <w:r w:rsidR="002C119D" w:rsidRPr="00D42B0A">
        <w:rPr>
          <w:rFonts w:ascii="Garamond" w:hAnsi="Garamond"/>
          <w:iCs/>
          <w:sz w:val="24"/>
          <w:szCs w:val="20"/>
        </w:rPr>
        <w:t xml:space="preserve"> assist NMHED-AE with </w:t>
      </w:r>
      <w:r w:rsidR="00691C4E">
        <w:rPr>
          <w:rFonts w:ascii="Garamond" w:hAnsi="Garamond"/>
          <w:iCs/>
          <w:sz w:val="24"/>
          <w:szCs w:val="20"/>
        </w:rPr>
        <w:t xml:space="preserve">ongoing </w:t>
      </w:r>
      <w:r w:rsidR="00052A28">
        <w:rPr>
          <w:rFonts w:ascii="Garamond" w:hAnsi="Garamond"/>
          <w:iCs/>
          <w:sz w:val="24"/>
          <w:szCs w:val="20"/>
        </w:rPr>
        <w:t xml:space="preserve">work designing the </w:t>
      </w:r>
      <w:r w:rsidR="000F7D17">
        <w:rPr>
          <w:rFonts w:ascii="Garamond" w:hAnsi="Garamond"/>
          <w:iCs/>
          <w:sz w:val="24"/>
          <w:szCs w:val="20"/>
        </w:rPr>
        <w:t xml:space="preserve">PD </w:t>
      </w:r>
      <w:r w:rsidR="00052A28">
        <w:rPr>
          <w:rFonts w:ascii="Garamond" w:hAnsi="Garamond"/>
          <w:iCs/>
          <w:sz w:val="24"/>
          <w:szCs w:val="20"/>
        </w:rPr>
        <w:t>system itself</w:t>
      </w:r>
      <w:r w:rsidR="002C119D" w:rsidRPr="00D42B0A">
        <w:rPr>
          <w:rFonts w:ascii="Garamond" w:hAnsi="Garamond"/>
          <w:iCs/>
          <w:sz w:val="24"/>
          <w:szCs w:val="20"/>
        </w:rPr>
        <w:t>, as well as with the coordination and provision of ongoing high-quality PD to the field.</w:t>
      </w:r>
      <w:r w:rsidR="00B708E6">
        <w:rPr>
          <w:rFonts w:ascii="Garamond" w:hAnsi="Garamond"/>
          <w:iCs/>
          <w:sz w:val="24"/>
          <w:szCs w:val="20"/>
        </w:rPr>
        <w:t xml:space="preserve">  NMHED-AE also issued a contract to national trainer/consultant Jeff</w:t>
      </w:r>
      <w:r w:rsidR="000F7D17">
        <w:rPr>
          <w:rFonts w:ascii="Garamond" w:hAnsi="Garamond"/>
          <w:iCs/>
          <w:sz w:val="24"/>
          <w:szCs w:val="20"/>
        </w:rPr>
        <w:t>ery</w:t>
      </w:r>
      <w:r w:rsidR="00B708E6">
        <w:rPr>
          <w:rFonts w:ascii="Garamond" w:hAnsi="Garamond"/>
          <w:iCs/>
          <w:sz w:val="24"/>
          <w:szCs w:val="20"/>
        </w:rPr>
        <w:t xml:space="preserve"> Fantine</w:t>
      </w:r>
      <w:r w:rsidR="00525687">
        <w:rPr>
          <w:rFonts w:ascii="Garamond" w:hAnsi="Garamond"/>
          <w:iCs/>
          <w:sz w:val="24"/>
          <w:szCs w:val="20"/>
        </w:rPr>
        <w:t xml:space="preserve"> to</w:t>
      </w:r>
      <w:r w:rsidR="00B708E6">
        <w:rPr>
          <w:rFonts w:ascii="Garamond" w:hAnsi="Garamond"/>
          <w:iCs/>
          <w:sz w:val="24"/>
          <w:szCs w:val="20"/>
        </w:rPr>
        <w:t xml:space="preserve"> co-design and lead a longitudinal </w:t>
      </w:r>
      <w:r w:rsidR="00636E6B">
        <w:rPr>
          <w:rFonts w:ascii="Garamond" w:hAnsi="Garamond"/>
          <w:iCs/>
          <w:sz w:val="24"/>
          <w:szCs w:val="20"/>
        </w:rPr>
        <w:t xml:space="preserve">(3-year) </w:t>
      </w:r>
      <w:r w:rsidR="00B708E6">
        <w:rPr>
          <w:rFonts w:ascii="Garamond" w:hAnsi="Garamond"/>
          <w:iCs/>
          <w:sz w:val="24"/>
          <w:szCs w:val="20"/>
        </w:rPr>
        <w:t>Car</w:t>
      </w:r>
      <w:r w:rsidR="00525687">
        <w:rPr>
          <w:rFonts w:ascii="Garamond" w:hAnsi="Garamond"/>
          <w:iCs/>
          <w:sz w:val="24"/>
          <w:szCs w:val="20"/>
        </w:rPr>
        <w:t xml:space="preserve">eer Pathways Initiative (CPI) for local programs and to </w:t>
      </w:r>
      <w:r w:rsidR="00052A28">
        <w:rPr>
          <w:rFonts w:ascii="Garamond" w:hAnsi="Garamond"/>
          <w:iCs/>
          <w:sz w:val="24"/>
          <w:szCs w:val="20"/>
        </w:rPr>
        <w:t xml:space="preserve">further </w:t>
      </w:r>
      <w:r w:rsidR="00525687">
        <w:rPr>
          <w:rFonts w:ascii="Garamond" w:hAnsi="Garamond"/>
          <w:iCs/>
          <w:sz w:val="24"/>
          <w:szCs w:val="20"/>
        </w:rPr>
        <w:t>assist with PD system design efforts</w:t>
      </w:r>
      <w:r w:rsidR="00B80645">
        <w:rPr>
          <w:rFonts w:ascii="Garamond" w:hAnsi="Garamond"/>
          <w:iCs/>
          <w:sz w:val="24"/>
          <w:szCs w:val="20"/>
        </w:rPr>
        <w:t xml:space="preserve">, which are slated to include the development of a state-sponsored PD portal </w:t>
      </w:r>
      <w:r w:rsidR="00691C4E">
        <w:rPr>
          <w:rFonts w:ascii="Garamond" w:hAnsi="Garamond"/>
          <w:iCs/>
          <w:sz w:val="24"/>
          <w:szCs w:val="20"/>
        </w:rPr>
        <w:t xml:space="preserve">in PY 20/21 </w:t>
      </w:r>
      <w:r w:rsidR="00B80645">
        <w:rPr>
          <w:rFonts w:ascii="Garamond" w:hAnsi="Garamond"/>
          <w:iCs/>
          <w:sz w:val="24"/>
          <w:szCs w:val="20"/>
        </w:rPr>
        <w:t xml:space="preserve">and </w:t>
      </w:r>
      <w:r w:rsidR="00052A28">
        <w:rPr>
          <w:rFonts w:ascii="Garamond" w:hAnsi="Garamond"/>
          <w:iCs/>
          <w:sz w:val="24"/>
          <w:szCs w:val="20"/>
        </w:rPr>
        <w:t xml:space="preserve">the eventual </w:t>
      </w:r>
      <w:r w:rsidR="002A6E59">
        <w:rPr>
          <w:rFonts w:ascii="Garamond" w:hAnsi="Garamond"/>
          <w:iCs/>
          <w:sz w:val="24"/>
          <w:szCs w:val="20"/>
        </w:rPr>
        <w:t xml:space="preserve">design and </w:t>
      </w:r>
      <w:r w:rsidR="00052A28">
        <w:rPr>
          <w:rFonts w:ascii="Garamond" w:hAnsi="Garamond"/>
          <w:iCs/>
          <w:sz w:val="24"/>
          <w:szCs w:val="20"/>
        </w:rPr>
        <w:t>implementation of an</w:t>
      </w:r>
      <w:r w:rsidR="00691C4E">
        <w:rPr>
          <w:rFonts w:ascii="Garamond" w:hAnsi="Garamond"/>
          <w:iCs/>
          <w:sz w:val="24"/>
          <w:szCs w:val="20"/>
        </w:rPr>
        <w:t xml:space="preserve"> Adult Education</w:t>
      </w:r>
      <w:r w:rsidR="00B80645">
        <w:rPr>
          <w:rFonts w:ascii="Garamond" w:hAnsi="Garamond"/>
          <w:iCs/>
          <w:sz w:val="24"/>
          <w:szCs w:val="20"/>
        </w:rPr>
        <w:t xml:space="preserve"> credentialing system.</w:t>
      </w:r>
      <w:r w:rsidR="0068146F" w:rsidRPr="007D631F">
        <w:rPr>
          <w:rFonts w:ascii="Garamond" w:hAnsi="Garamond"/>
          <w:iCs/>
          <w:sz w:val="24"/>
          <w:szCs w:val="20"/>
        </w:rPr>
        <w:t xml:space="preserve"> </w:t>
      </w:r>
    </w:p>
    <w:p w:rsidR="00BA3843" w:rsidRDefault="007D631F" w:rsidP="007D631F">
      <w:pPr>
        <w:spacing w:after="120"/>
        <w:ind w:right="72"/>
        <w:rPr>
          <w:rFonts w:ascii="Garamond" w:hAnsi="Garamond"/>
          <w:iCs/>
          <w:sz w:val="24"/>
          <w:szCs w:val="20"/>
        </w:rPr>
      </w:pPr>
      <w:r>
        <w:rPr>
          <w:rFonts w:ascii="Garamond" w:hAnsi="Garamond"/>
          <w:sz w:val="24"/>
          <w:szCs w:val="24"/>
        </w:rPr>
        <w:t xml:space="preserve">The </w:t>
      </w:r>
      <w:r w:rsidR="00297BAE">
        <w:rPr>
          <w:rFonts w:ascii="Garamond" w:hAnsi="Garamond"/>
          <w:sz w:val="24"/>
          <w:szCs w:val="24"/>
        </w:rPr>
        <w:t xml:space="preserve">longitudinal </w:t>
      </w:r>
      <w:r>
        <w:rPr>
          <w:rFonts w:ascii="Garamond" w:hAnsi="Garamond"/>
          <w:sz w:val="24"/>
          <w:szCs w:val="24"/>
        </w:rPr>
        <w:t>CPI</w:t>
      </w:r>
      <w:r w:rsidRPr="007D631F">
        <w:rPr>
          <w:rFonts w:ascii="Garamond" w:hAnsi="Garamond"/>
          <w:sz w:val="24"/>
          <w:szCs w:val="24"/>
        </w:rPr>
        <w:t xml:space="preserve"> </w:t>
      </w:r>
      <w:r w:rsidR="00701AC7">
        <w:rPr>
          <w:rFonts w:ascii="Garamond" w:hAnsi="Garamond"/>
          <w:sz w:val="24"/>
          <w:szCs w:val="24"/>
        </w:rPr>
        <w:t xml:space="preserve">mentioned above </w:t>
      </w:r>
      <w:r w:rsidRPr="007D631F">
        <w:rPr>
          <w:rFonts w:ascii="Garamond" w:hAnsi="Garamond"/>
          <w:sz w:val="24"/>
          <w:szCs w:val="24"/>
        </w:rPr>
        <w:t xml:space="preserve">was </w:t>
      </w:r>
      <w:r w:rsidR="00701AC7">
        <w:rPr>
          <w:rFonts w:ascii="Garamond" w:hAnsi="Garamond"/>
          <w:sz w:val="24"/>
          <w:szCs w:val="24"/>
        </w:rPr>
        <w:t>created</w:t>
      </w:r>
      <w:r w:rsidRPr="007D631F">
        <w:rPr>
          <w:rFonts w:ascii="Garamond" w:hAnsi="Garamond"/>
          <w:sz w:val="24"/>
          <w:szCs w:val="24"/>
        </w:rPr>
        <w:t xml:space="preserve"> to ensure that</w:t>
      </w:r>
      <w:r w:rsidR="00BA3843">
        <w:rPr>
          <w:rFonts w:ascii="Garamond" w:hAnsi="Garamond"/>
          <w:sz w:val="24"/>
          <w:szCs w:val="24"/>
        </w:rPr>
        <w:t xml:space="preserve"> </w:t>
      </w:r>
      <w:r w:rsidRPr="007D631F">
        <w:rPr>
          <w:rFonts w:ascii="Garamond" w:hAnsi="Garamond"/>
          <w:sz w:val="24"/>
          <w:szCs w:val="24"/>
        </w:rPr>
        <w:t xml:space="preserve">Adult Education </w:t>
      </w:r>
      <w:r w:rsidR="00095D38">
        <w:rPr>
          <w:rFonts w:ascii="Garamond" w:hAnsi="Garamond"/>
          <w:sz w:val="24"/>
          <w:szCs w:val="24"/>
        </w:rPr>
        <w:t xml:space="preserve">leaders and </w:t>
      </w:r>
      <w:r w:rsidRPr="007D631F">
        <w:rPr>
          <w:rFonts w:ascii="Garamond" w:hAnsi="Garamond"/>
          <w:sz w:val="24"/>
          <w:szCs w:val="24"/>
        </w:rPr>
        <w:t xml:space="preserve">providers </w:t>
      </w:r>
      <w:r w:rsidR="00BA3843">
        <w:rPr>
          <w:rFonts w:ascii="Garamond" w:hAnsi="Garamond"/>
          <w:sz w:val="24"/>
          <w:szCs w:val="24"/>
        </w:rPr>
        <w:t xml:space="preserve">statewide </w:t>
      </w:r>
      <w:r>
        <w:rPr>
          <w:rFonts w:ascii="Garamond" w:hAnsi="Garamond"/>
          <w:sz w:val="24"/>
          <w:szCs w:val="24"/>
        </w:rPr>
        <w:t>(and other WIO</w:t>
      </w:r>
      <w:r w:rsidR="00BA3843">
        <w:rPr>
          <w:rFonts w:ascii="Garamond" w:hAnsi="Garamond"/>
          <w:sz w:val="24"/>
          <w:szCs w:val="24"/>
        </w:rPr>
        <w:t>A</w:t>
      </w:r>
      <w:r>
        <w:rPr>
          <w:rFonts w:ascii="Garamond" w:hAnsi="Garamond"/>
          <w:sz w:val="24"/>
          <w:szCs w:val="24"/>
        </w:rPr>
        <w:t xml:space="preserve"> partners</w:t>
      </w:r>
      <w:r w:rsidR="00BA3843">
        <w:rPr>
          <w:rFonts w:ascii="Garamond" w:hAnsi="Garamond"/>
          <w:sz w:val="24"/>
          <w:szCs w:val="24"/>
        </w:rPr>
        <w:t xml:space="preserve"> who participated</w:t>
      </w:r>
      <w:r>
        <w:rPr>
          <w:rFonts w:ascii="Garamond" w:hAnsi="Garamond"/>
          <w:sz w:val="24"/>
          <w:szCs w:val="24"/>
        </w:rPr>
        <w:t xml:space="preserve">) </w:t>
      </w:r>
      <w:r w:rsidR="00095D38">
        <w:rPr>
          <w:rFonts w:ascii="Garamond" w:hAnsi="Garamond"/>
          <w:sz w:val="24"/>
          <w:szCs w:val="24"/>
        </w:rPr>
        <w:t>uniformly</w:t>
      </w:r>
      <w:r w:rsidRPr="007D631F">
        <w:rPr>
          <w:rFonts w:ascii="Garamond" w:hAnsi="Garamond"/>
          <w:sz w:val="24"/>
          <w:szCs w:val="24"/>
        </w:rPr>
        <w:t xml:space="preserve"> understand both the</w:t>
      </w:r>
      <w:r w:rsidR="00BA3843">
        <w:rPr>
          <w:rFonts w:ascii="Garamond" w:hAnsi="Garamond"/>
          <w:sz w:val="24"/>
          <w:szCs w:val="24"/>
        </w:rPr>
        <w:t xml:space="preserve"> spirit and the key letters</w:t>
      </w:r>
      <w:r w:rsidRPr="007D631F">
        <w:rPr>
          <w:rFonts w:ascii="Garamond" w:hAnsi="Garamond"/>
          <w:sz w:val="24"/>
          <w:szCs w:val="24"/>
        </w:rPr>
        <w:t xml:space="preserve"> of WIOA legislation, including actual definitions and requirements, and that they </w:t>
      </w:r>
      <w:r w:rsidR="00180FAF">
        <w:rPr>
          <w:rFonts w:ascii="Garamond" w:hAnsi="Garamond"/>
          <w:sz w:val="24"/>
          <w:szCs w:val="24"/>
        </w:rPr>
        <w:t>are</w:t>
      </w:r>
      <w:r w:rsidRPr="007D631F">
        <w:rPr>
          <w:rFonts w:ascii="Garamond" w:hAnsi="Garamond"/>
          <w:sz w:val="24"/>
          <w:szCs w:val="24"/>
        </w:rPr>
        <w:t xml:space="preserve"> using this knowledge to </w:t>
      </w:r>
      <w:r w:rsidR="00873EB8">
        <w:rPr>
          <w:rFonts w:ascii="Garamond" w:hAnsi="Garamond"/>
          <w:sz w:val="24"/>
          <w:szCs w:val="24"/>
        </w:rPr>
        <w:t xml:space="preserve">systematically </w:t>
      </w:r>
      <w:r w:rsidRPr="007D631F">
        <w:rPr>
          <w:rFonts w:ascii="Garamond" w:hAnsi="Garamond"/>
          <w:sz w:val="24"/>
          <w:szCs w:val="24"/>
        </w:rPr>
        <w:t xml:space="preserve">inform their self-evaluation efforts, their service delivery model, and their collaborative efforts with partner agencies and organizations.  </w:t>
      </w:r>
      <w:r w:rsidR="00701AC7">
        <w:rPr>
          <w:rFonts w:ascii="Garamond" w:hAnsi="Garamond"/>
          <w:sz w:val="24"/>
          <w:szCs w:val="24"/>
        </w:rPr>
        <w:t xml:space="preserve">Significant inroads on this front had been made with the earlier C3 initiative, </w:t>
      </w:r>
      <w:r w:rsidR="00496EB8">
        <w:rPr>
          <w:rFonts w:ascii="Garamond" w:hAnsi="Garamond"/>
          <w:sz w:val="24"/>
          <w:szCs w:val="24"/>
        </w:rPr>
        <w:t>which</w:t>
      </w:r>
      <w:r w:rsidR="00701AC7">
        <w:rPr>
          <w:rFonts w:ascii="Garamond" w:hAnsi="Garamond"/>
          <w:sz w:val="24"/>
          <w:szCs w:val="24"/>
        </w:rPr>
        <w:t xml:space="preserve"> served as a </w:t>
      </w:r>
      <w:r w:rsidR="00496EB8">
        <w:rPr>
          <w:rFonts w:ascii="Garamond" w:hAnsi="Garamond"/>
          <w:sz w:val="24"/>
          <w:szCs w:val="24"/>
        </w:rPr>
        <w:t>powerful</w:t>
      </w:r>
      <w:r w:rsidR="00701AC7">
        <w:rPr>
          <w:rFonts w:ascii="Garamond" w:hAnsi="Garamond"/>
          <w:sz w:val="24"/>
          <w:szCs w:val="24"/>
        </w:rPr>
        <w:t xml:space="preserve"> springboard for CPI</w:t>
      </w:r>
      <w:r w:rsidR="00496EB8">
        <w:rPr>
          <w:rFonts w:ascii="Garamond" w:hAnsi="Garamond"/>
          <w:sz w:val="24"/>
          <w:szCs w:val="24"/>
        </w:rPr>
        <w:t xml:space="preserve"> launch</w:t>
      </w:r>
      <w:r w:rsidR="00701AC7">
        <w:rPr>
          <w:rFonts w:ascii="Garamond" w:hAnsi="Garamond"/>
          <w:sz w:val="24"/>
          <w:szCs w:val="24"/>
        </w:rPr>
        <w:t xml:space="preserve">. For the entirety of PY 19/20, </w:t>
      </w:r>
      <w:r w:rsidR="00297BAE">
        <w:rPr>
          <w:rFonts w:ascii="Garamond" w:hAnsi="Garamond"/>
          <w:sz w:val="24"/>
          <w:szCs w:val="24"/>
        </w:rPr>
        <w:t>in-person and virtual t</w:t>
      </w:r>
      <w:r w:rsidRPr="007D631F">
        <w:rPr>
          <w:rFonts w:ascii="Garamond" w:hAnsi="Garamond"/>
          <w:sz w:val="24"/>
          <w:szCs w:val="24"/>
        </w:rPr>
        <w:t xml:space="preserve">raining and </w:t>
      </w:r>
      <w:r w:rsidR="003C1CBD">
        <w:rPr>
          <w:rFonts w:ascii="Garamond" w:hAnsi="Garamond"/>
          <w:sz w:val="24"/>
          <w:szCs w:val="24"/>
        </w:rPr>
        <w:t xml:space="preserve">local </w:t>
      </w:r>
      <w:r w:rsidR="00BA3843">
        <w:rPr>
          <w:rFonts w:ascii="Garamond" w:hAnsi="Garamond"/>
          <w:sz w:val="24"/>
          <w:szCs w:val="24"/>
        </w:rPr>
        <w:t xml:space="preserve">program </w:t>
      </w:r>
      <w:r w:rsidRPr="007D631F">
        <w:rPr>
          <w:rFonts w:ascii="Garamond" w:hAnsi="Garamond"/>
          <w:sz w:val="24"/>
          <w:szCs w:val="24"/>
        </w:rPr>
        <w:t>action planning centered around ten (10) critical service delivery components, including partnerships, fostering a career culture, utilizing labor market information, onboarding, education and career planning with students, advising, instruction, alignment, special populations, and wrap around support services</w:t>
      </w:r>
      <w:r w:rsidR="004D6BDF">
        <w:rPr>
          <w:rFonts w:ascii="Garamond" w:hAnsi="Garamond"/>
          <w:sz w:val="24"/>
          <w:szCs w:val="24"/>
        </w:rPr>
        <w:t xml:space="preserve">.  All 24 local AE programs participated in CPI Year </w:t>
      </w:r>
      <w:r w:rsidR="00297BAE">
        <w:rPr>
          <w:rFonts w:ascii="Garamond" w:hAnsi="Garamond"/>
          <w:sz w:val="24"/>
          <w:szCs w:val="24"/>
        </w:rPr>
        <w:t>1</w:t>
      </w:r>
      <w:r w:rsidR="004D6BDF">
        <w:rPr>
          <w:rFonts w:ascii="Garamond" w:hAnsi="Garamond"/>
          <w:sz w:val="24"/>
          <w:szCs w:val="24"/>
        </w:rPr>
        <w:t>, with</w:t>
      </w:r>
      <w:r w:rsidR="00A14806">
        <w:rPr>
          <w:rFonts w:ascii="Garamond" w:hAnsi="Garamond"/>
          <w:sz w:val="24"/>
          <w:szCs w:val="24"/>
        </w:rPr>
        <w:t xml:space="preserve"> a majority subset</w:t>
      </w:r>
      <w:r w:rsidR="004D6BDF">
        <w:rPr>
          <w:rFonts w:ascii="Garamond" w:hAnsi="Garamond"/>
          <w:sz w:val="24"/>
          <w:szCs w:val="24"/>
        </w:rPr>
        <w:t xml:space="preserve"> receiving additional incentive funds as a result of their particularly ambitio</w:t>
      </w:r>
      <w:r w:rsidR="00297BAE">
        <w:rPr>
          <w:rFonts w:ascii="Garamond" w:hAnsi="Garamond"/>
          <w:sz w:val="24"/>
          <w:szCs w:val="24"/>
        </w:rPr>
        <w:t>u</w:t>
      </w:r>
      <w:r w:rsidR="004D6BDF">
        <w:rPr>
          <w:rFonts w:ascii="Garamond" w:hAnsi="Garamond"/>
          <w:sz w:val="24"/>
          <w:szCs w:val="24"/>
        </w:rPr>
        <w:t>s CPI strategic action plans.</w:t>
      </w:r>
      <w:r>
        <w:rPr>
          <w:rFonts w:ascii="Garamond" w:hAnsi="Garamond"/>
          <w:iCs/>
          <w:sz w:val="24"/>
          <w:szCs w:val="20"/>
        </w:rPr>
        <w:t xml:space="preserve">  </w:t>
      </w:r>
    </w:p>
    <w:p w:rsidR="00B10BFF" w:rsidRDefault="00075924" w:rsidP="00B10BFF">
      <w:pPr>
        <w:spacing w:after="120"/>
        <w:ind w:right="72"/>
        <w:rPr>
          <w:rFonts w:ascii="Garamond" w:hAnsi="Garamond"/>
          <w:iCs/>
          <w:sz w:val="24"/>
          <w:szCs w:val="20"/>
        </w:rPr>
      </w:pPr>
      <w:r w:rsidRPr="00075924">
        <w:rPr>
          <w:rFonts w:ascii="Garamond" w:eastAsia="Times New Roman" w:hAnsi="Garamond" w:cs="Arial"/>
          <w:color w:val="000000"/>
          <w:sz w:val="24"/>
          <w:szCs w:val="24"/>
          <w:bdr w:val="none" w:sz="0" w:space="0" w:color="auto" w:frame="1"/>
          <w:shd w:val="clear" w:color="auto" w:fill="FFFFFF"/>
        </w:rPr>
        <w:t xml:space="preserve">In addition to the </w:t>
      </w:r>
      <w:r w:rsidR="00C44323">
        <w:rPr>
          <w:rFonts w:ascii="Garamond" w:eastAsia="Times New Roman" w:hAnsi="Garamond" w:cs="Arial"/>
          <w:color w:val="000000"/>
          <w:sz w:val="24"/>
          <w:szCs w:val="24"/>
          <w:bdr w:val="none" w:sz="0" w:space="0" w:color="auto" w:frame="1"/>
          <w:shd w:val="clear" w:color="auto" w:fill="FFFFFF"/>
        </w:rPr>
        <w:t xml:space="preserve">comprehensive </w:t>
      </w:r>
      <w:r w:rsidRPr="00075924">
        <w:rPr>
          <w:rFonts w:ascii="Garamond" w:eastAsia="Times New Roman" w:hAnsi="Garamond" w:cs="Arial"/>
          <w:color w:val="000000"/>
          <w:sz w:val="24"/>
          <w:szCs w:val="24"/>
          <w:bdr w:val="none" w:sz="0" w:space="0" w:color="auto" w:frame="1"/>
          <w:shd w:val="clear" w:color="auto" w:fill="FFFFFF"/>
        </w:rPr>
        <w:t xml:space="preserve">Career Pathways Initiative, </w:t>
      </w:r>
      <w:r w:rsidR="001531F7">
        <w:rPr>
          <w:rFonts w:ascii="Garamond" w:eastAsia="Times New Roman" w:hAnsi="Garamond" w:cs="Arial"/>
          <w:color w:val="000000"/>
          <w:sz w:val="24"/>
          <w:szCs w:val="24"/>
          <w:bdr w:val="none" w:sz="0" w:space="0" w:color="auto" w:frame="1"/>
          <w:shd w:val="clear" w:color="auto" w:fill="FFFFFF"/>
        </w:rPr>
        <w:t xml:space="preserve">leadership and other funds were used to offer </w:t>
      </w:r>
      <w:r w:rsidRPr="00075924">
        <w:rPr>
          <w:rFonts w:ascii="Garamond" w:eastAsia="Times New Roman" w:hAnsi="Garamond" w:cs="Arial"/>
          <w:color w:val="000000"/>
          <w:sz w:val="24"/>
          <w:szCs w:val="24"/>
          <w:bdr w:val="none" w:sz="0" w:space="0" w:color="auto" w:frame="1"/>
          <w:shd w:val="clear" w:color="auto" w:fill="FFFFFF"/>
        </w:rPr>
        <w:t>professional development in the form of regular webinars, annual regional Teacher Institutes sponsored by the NM Adult Education Association (NMAEA), and the annual state conference</w:t>
      </w:r>
      <w:r w:rsidR="00B80645">
        <w:rPr>
          <w:rFonts w:ascii="Garamond" w:eastAsia="Times New Roman" w:hAnsi="Garamond" w:cs="Arial"/>
          <w:color w:val="000000"/>
          <w:sz w:val="24"/>
          <w:szCs w:val="24"/>
          <w:bdr w:val="none" w:sz="0" w:space="0" w:color="auto" w:frame="1"/>
          <w:shd w:val="clear" w:color="auto" w:fill="FFFFFF"/>
        </w:rPr>
        <w:t xml:space="preserve"> co-sponsored by NMAEA and NMHED-AE,</w:t>
      </w:r>
      <w:r w:rsidR="007D631F">
        <w:rPr>
          <w:rFonts w:ascii="Garamond" w:eastAsia="Times New Roman" w:hAnsi="Garamond" w:cs="Arial"/>
          <w:color w:val="000000"/>
          <w:sz w:val="24"/>
          <w:szCs w:val="24"/>
          <w:bdr w:val="none" w:sz="0" w:space="0" w:color="auto" w:frame="1"/>
          <w:shd w:val="clear" w:color="auto" w:fill="FFFFFF"/>
        </w:rPr>
        <w:t xml:space="preserve"> which this year was held</w:t>
      </w:r>
      <w:r w:rsidRPr="00075924">
        <w:rPr>
          <w:rFonts w:ascii="Garamond" w:eastAsia="Times New Roman" w:hAnsi="Garamond" w:cs="Arial"/>
          <w:color w:val="000000"/>
          <w:sz w:val="24"/>
          <w:szCs w:val="24"/>
          <w:bdr w:val="none" w:sz="0" w:space="0" w:color="auto" w:frame="1"/>
          <w:shd w:val="clear" w:color="auto" w:fill="FFFFFF"/>
        </w:rPr>
        <w:t xml:space="preserve"> in conjunction with the Mountain Plains Adult Education Association (MPAEA)</w:t>
      </w:r>
      <w:r w:rsidR="00B340C1">
        <w:rPr>
          <w:rFonts w:ascii="Garamond" w:eastAsia="Times New Roman" w:hAnsi="Garamond" w:cs="Arial"/>
          <w:color w:val="000000"/>
          <w:sz w:val="24"/>
          <w:szCs w:val="24"/>
          <w:bdr w:val="none" w:sz="0" w:space="0" w:color="auto" w:frame="1"/>
          <w:shd w:val="clear" w:color="auto" w:fill="FFFFFF"/>
        </w:rPr>
        <w:t xml:space="preserve"> and </w:t>
      </w:r>
      <w:r w:rsidR="00C44323">
        <w:rPr>
          <w:rFonts w:ascii="Garamond" w:eastAsia="Times New Roman" w:hAnsi="Garamond" w:cs="Arial"/>
          <w:color w:val="000000"/>
          <w:sz w:val="24"/>
          <w:szCs w:val="24"/>
          <w:bdr w:val="none" w:sz="0" w:space="0" w:color="auto" w:frame="1"/>
          <w:shd w:val="clear" w:color="auto" w:fill="FFFFFF"/>
        </w:rPr>
        <w:t>achieved a</w:t>
      </w:r>
      <w:r w:rsidR="00B80645">
        <w:rPr>
          <w:rFonts w:ascii="Garamond" w:eastAsia="Times New Roman" w:hAnsi="Garamond" w:cs="Arial"/>
          <w:color w:val="000000"/>
          <w:sz w:val="24"/>
          <w:szCs w:val="24"/>
          <w:bdr w:val="none" w:sz="0" w:space="0" w:color="auto" w:frame="1"/>
          <w:shd w:val="clear" w:color="auto" w:fill="FFFFFF"/>
        </w:rPr>
        <w:t xml:space="preserve"> record turnout.</w:t>
      </w:r>
      <w:r w:rsidRPr="00075924">
        <w:rPr>
          <w:rFonts w:ascii="Garamond" w:eastAsia="Times New Roman" w:hAnsi="Garamond" w:cs="Arial"/>
          <w:color w:val="000000"/>
          <w:sz w:val="24"/>
          <w:szCs w:val="24"/>
          <w:bdr w:val="none" w:sz="0" w:space="0" w:color="auto" w:frame="1"/>
          <w:shd w:val="clear" w:color="auto" w:fill="FFFFFF"/>
        </w:rPr>
        <w:t xml:space="preserve">  Other </w:t>
      </w:r>
      <w:r w:rsidR="00297BAE">
        <w:rPr>
          <w:rFonts w:ascii="Garamond" w:eastAsia="Times New Roman" w:hAnsi="Garamond" w:cs="Arial"/>
          <w:color w:val="000000"/>
          <w:sz w:val="24"/>
          <w:szCs w:val="24"/>
          <w:bdr w:val="none" w:sz="0" w:space="0" w:color="auto" w:frame="1"/>
          <w:shd w:val="clear" w:color="auto" w:fill="FFFFFF"/>
        </w:rPr>
        <w:t xml:space="preserve">key </w:t>
      </w:r>
      <w:r w:rsidR="00AE2322">
        <w:rPr>
          <w:rFonts w:ascii="Garamond" w:eastAsia="Times New Roman" w:hAnsi="Garamond" w:cs="Arial"/>
          <w:color w:val="000000"/>
          <w:sz w:val="24"/>
          <w:szCs w:val="24"/>
          <w:bdr w:val="none" w:sz="0" w:space="0" w:color="auto" w:frame="1"/>
          <w:shd w:val="clear" w:color="auto" w:fill="FFFFFF"/>
        </w:rPr>
        <w:t xml:space="preserve">state-sponsored </w:t>
      </w:r>
      <w:r w:rsidRPr="00075924">
        <w:rPr>
          <w:rFonts w:ascii="Garamond" w:eastAsia="Times New Roman" w:hAnsi="Garamond" w:cs="Arial"/>
          <w:color w:val="000000"/>
          <w:sz w:val="24"/>
          <w:szCs w:val="24"/>
          <w:bdr w:val="none" w:sz="0" w:space="0" w:color="auto" w:frame="1"/>
          <w:shd w:val="clear" w:color="auto" w:fill="FFFFFF"/>
        </w:rPr>
        <w:t xml:space="preserve">initiatives </w:t>
      </w:r>
      <w:r w:rsidR="008466EA">
        <w:rPr>
          <w:rFonts w:ascii="Garamond" w:eastAsia="Times New Roman" w:hAnsi="Garamond" w:cs="Arial"/>
          <w:color w:val="000000"/>
          <w:sz w:val="24"/>
          <w:szCs w:val="24"/>
          <w:bdr w:val="none" w:sz="0" w:space="0" w:color="auto" w:frame="1"/>
          <w:shd w:val="clear" w:color="auto" w:fill="FFFFFF"/>
        </w:rPr>
        <w:t xml:space="preserve">during this reporting </w:t>
      </w:r>
      <w:r w:rsidR="007E0044">
        <w:rPr>
          <w:rFonts w:ascii="Garamond" w:eastAsia="Times New Roman" w:hAnsi="Garamond" w:cs="Arial"/>
          <w:color w:val="000000"/>
          <w:sz w:val="24"/>
          <w:szCs w:val="24"/>
          <w:bdr w:val="none" w:sz="0" w:space="0" w:color="auto" w:frame="1"/>
          <w:shd w:val="clear" w:color="auto" w:fill="FFFFFF"/>
        </w:rPr>
        <w:t>period</w:t>
      </w:r>
      <w:r w:rsidR="008466EA">
        <w:rPr>
          <w:rFonts w:ascii="Garamond" w:eastAsia="Times New Roman" w:hAnsi="Garamond" w:cs="Arial"/>
          <w:color w:val="000000"/>
          <w:sz w:val="24"/>
          <w:szCs w:val="24"/>
          <w:bdr w:val="none" w:sz="0" w:space="0" w:color="auto" w:frame="1"/>
          <w:shd w:val="clear" w:color="auto" w:fill="FFFFFF"/>
        </w:rPr>
        <w:t xml:space="preserve"> </w:t>
      </w:r>
      <w:r w:rsidRPr="00075924">
        <w:rPr>
          <w:rFonts w:ascii="Garamond" w:eastAsia="Times New Roman" w:hAnsi="Garamond" w:cs="Arial"/>
          <w:color w:val="000000"/>
          <w:sz w:val="24"/>
          <w:szCs w:val="24"/>
          <w:bdr w:val="none" w:sz="0" w:space="0" w:color="auto" w:frame="1"/>
          <w:shd w:val="clear" w:color="auto" w:fill="FFFFFF"/>
        </w:rPr>
        <w:t>included </w:t>
      </w:r>
      <w:r w:rsidR="008466EA">
        <w:rPr>
          <w:rFonts w:ascii="Garamond" w:eastAsia="Times New Roman" w:hAnsi="Garamond" w:cs="Arial"/>
          <w:color w:val="000000"/>
          <w:sz w:val="24"/>
          <w:szCs w:val="24"/>
          <w:bdr w:val="none" w:sz="0" w:space="0" w:color="auto" w:frame="1"/>
          <w:shd w:val="clear" w:color="auto" w:fill="FFFFFF"/>
        </w:rPr>
        <w:t xml:space="preserve">implementing  </w:t>
      </w:r>
      <w:r w:rsidRPr="00075924">
        <w:rPr>
          <w:rFonts w:ascii="Garamond" w:eastAsia="Times New Roman" w:hAnsi="Garamond" w:cs="Arial"/>
          <w:color w:val="000000"/>
          <w:sz w:val="24"/>
          <w:szCs w:val="24"/>
          <w:bdr w:val="none" w:sz="0" w:space="0" w:color="auto" w:frame="1"/>
          <w:shd w:val="clear" w:color="auto" w:fill="FFFFFF"/>
        </w:rPr>
        <w:t>Training from the Back of the Room (TBR) and Motivational Coaching for Adult Education</w:t>
      </w:r>
      <w:r w:rsidR="008466EA">
        <w:rPr>
          <w:rFonts w:ascii="Garamond" w:eastAsia="Times New Roman" w:hAnsi="Garamond" w:cs="Arial"/>
          <w:color w:val="000000"/>
          <w:sz w:val="24"/>
          <w:szCs w:val="24"/>
          <w:bdr w:val="none" w:sz="0" w:space="0" w:color="auto" w:frame="1"/>
          <w:shd w:val="clear" w:color="auto" w:fill="FFFFFF"/>
        </w:rPr>
        <w:t xml:space="preserve"> in cohort waves</w:t>
      </w:r>
      <w:r w:rsidR="00297BAE">
        <w:rPr>
          <w:rFonts w:ascii="Garamond" w:eastAsia="Times New Roman" w:hAnsi="Garamond" w:cs="Arial"/>
          <w:color w:val="000000"/>
          <w:sz w:val="24"/>
          <w:szCs w:val="24"/>
          <w:bdr w:val="none" w:sz="0" w:space="0" w:color="auto" w:frame="1"/>
          <w:shd w:val="clear" w:color="auto" w:fill="FFFFFF"/>
        </w:rPr>
        <w:t>, with a focus on internal capacity-building.</w:t>
      </w:r>
      <w:r w:rsidRPr="00075924">
        <w:rPr>
          <w:rFonts w:ascii="Garamond" w:eastAsia="Times New Roman" w:hAnsi="Garamond" w:cs="Arial"/>
          <w:color w:val="000000"/>
          <w:sz w:val="24"/>
          <w:szCs w:val="24"/>
          <w:bdr w:val="none" w:sz="0" w:space="0" w:color="auto" w:frame="1"/>
          <w:shd w:val="clear" w:color="auto" w:fill="FFFFFF"/>
        </w:rPr>
        <w:t xml:space="preserve">  </w:t>
      </w:r>
    </w:p>
    <w:p w:rsidR="008C1B16" w:rsidRDefault="00960CEA" w:rsidP="008C1B16">
      <w:pPr>
        <w:spacing w:after="120"/>
        <w:ind w:right="72"/>
        <w:rPr>
          <w:rFonts w:ascii="Garamond" w:hAnsi="Garamond"/>
          <w:iCs/>
          <w:sz w:val="24"/>
          <w:szCs w:val="20"/>
        </w:rPr>
      </w:pPr>
      <w:r w:rsidRPr="00B10BFF">
        <w:rPr>
          <w:rFonts w:ascii="Garamond" w:hAnsi="Garamond" w:cs="Times New Roman"/>
          <w:b/>
          <w:iCs/>
          <w:sz w:val="24"/>
          <w:szCs w:val="20"/>
        </w:rPr>
        <w:t>Provision of technical assistance to funded eligible providers as described in section 223(1)(c).</w:t>
      </w:r>
      <w:r w:rsidR="00B10BFF">
        <w:rPr>
          <w:rFonts w:ascii="Garamond" w:hAnsi="Garamond" w:cs="Times New Roman"/>
          <w:b/>
          <w:iCs/>
          <w:sz w:val="24"/>
          <w:szCs w:val="20"/>
        </w:rPr>
        <w:t xml:space="preserve">  </w:t>
      </w:r>
      <w:r w:rsidR="00DD2A0C" w:rsidRPr="00DD2A0C">
        <w:rPr>
          <w:rFonts w:ascii="Garamond" w:hAnsi="Garamond"/>
          <w:iCs/>
          <w:sz w:val="24"/>
          <w:szCs w:val="20"/>
        </w:rPr>
        <w:t>Technical assistance was provided to all program</w:t>
      </w:r>
      <w:r w:rsidR="00E06FE4">
        <w:rPr>
          <w:rFonts w:ascii="Garamond" w:hAnsi="Garamond"/>
          <w:iCs/>
          <w:sz w:val="24"/>
          <w:szCs w:val="20"/>
        </w:rPr>
        <w:t>s</w:t>
      </w:r>
      <w:r w:rsidR="00BE6EFD">
        <w:rPr>
          <w:rFonts w:ascii="Garamond" w:hAnsi="Garamond"/>
          <w:iCs/>
          <w:sz w:val="24"/>
          <w:szCs w:val="20"/>
        </w:rPr>
        <w:t xml:space="preserve"> by request</w:t>
      </w:r>
      <w:r w:rsidR="00BC540B">
        <w:rPr>
          <w:rFonts w:ascii="Garamond" w:hAnsi="Garamond"/>
          <w:iCs/>
          <w:sz w:val="24"/>
          <w:szCs w:val="20"/>
        </w:rPr>
        <w:t xml:space="preserve"> </w:t>
      </w:r>
      <w:r w:rsidR="00BE6EFD">
        <w:rPr>
          <w:rFonts w:ascii="Garamond" w:hAnsi="Garamond"/>
          <w:iCs/>
          <w:sz w:val="24"/>
          <w:szCs w:val="20"/>
        </w:rPr>
        <w:t xml:space="preserve">and </w:t>
      </w:r>
      <w:r w:rsidR="00D2119A">
        <w:rPr>
          <w:rFonts w:ascii="Garamond" w:hAnsi="Garamond"/>
          <w:iCs/>
          <w:sz w:val="24"/>
          <w:szCs w:val="20"/>
        </w:rPr>
        <w:t>as</w:t>
      </w:r>
      <w:r w:rsidR="00A35936">
        <w:rPr>
          <w:rFonts w:ascii="Garamond" w:hAnsi="Garamond"/>
          <w:iCs/>
          <w:sz w:val="24"/>
          <w:szCs w:val="20"/>
        </w:rPr>
        <w:t xml:space="preserve"> </w:t>
      </w:r>
      <w:r w:rsidR="00C13448">
        <w:rPr>
          <w:rFonts w:ascii="Garamond" w:hAnsi="Garamond"/>
          <w:iCs/>
          <w:sz w:val="24"/>
          <w:szCs w:val="20"/>
        </w:rPr>
        <w:t>structurally</w:t>
      </w:r>
      <w:r w:rsidR="006E19D0">
        <w:rPr>
          <w:rFonts w:ascii="Garamond" w:hAnsi="Garamond"/>
          <w:iCs/>
          <w:sz w:val="24"/>
          <w:szCs w:val="20"/>
        </w:rPr>
        <w:t xml:space="preserve"> </w:t>
      </w:r>
      <w:r w:rsidR="00C13448">
        <w:rPr>
          <w:rFonts w:ascii="Garamond" w:hAnsi="Garamond"/>
          <w:iCs/>
          <w:sz w:val="24"/>
          <w:szCs w:val="20"/>
        </w:rPr>
        <w:t xml:space="preserve">initiated </w:t>
      </w:r>
      <w:r w:rsidR="00D63DB4">
        <w:rPr>
          <w:rFonts w:ascii="Garamond" w:hAnsi="Garamond"/>
          <w:iCs/>
          <w:sz w:val="24"/>
          <w:szCs w:val="20"/>
        </w:rPr>
        <w:t>by NMHED-A</w:t>
      </w:r>
      <w:r w:rsidR="008A4D18">
        <w:rPr>
          <w:rFonts w:ascii="Garamond" w:hAnsi="Garamond"/>
          <w:iCs/>
          <w:sz w:val="24"/>
          <w:szCs w:val="20"/>
        </w:rPr>
        <w:t>E</w:t>
      </w:r>
      <w:r w:rsidR="00D2119A">
        <w:rPr>
          <w:rFonts w:ascii="Garamond" w:hAnsi="Garamond"/>
          <w:iCs/>
          <w:sz w:val="24"/>
          <w:szCs w:val="20"/>
        </w:rPr>
        <w:t>.  Structurally-init</w:t>
      </w:r>
      <w:r w:rsidR="006E19D0">
        <w:rPr>
          <w:rFonts w:ascii="Garamond" w:hAnsi="Garamond"/>
          <w:iCs/>
          <w:sz w:val="24"/>
          <w:szCs w:val="20"/>
        </w:rPr>
        <w:t>iated forms of TA included the provision of updated policy</w:t>
      </w:r>
      <w:r w:rsidR="008A4D18">
        <w:rPr>
          <w:rFonts w:ascii="Garamond" w:hAnsi="Garamond"/>
          <w:iCs/>
          <w:sz w:val="24"/>
          <w:szCs w:val="20"/>
        </w:rPr>
        <w:t xml:space="preserve"> </w:t>
      </w:r>
      <w:r w:rsidR="00E06FE4">
        <w:rPr>
          <w:rFonts w:ascii="Garamond" w:hAnsi="Garamond"/>
          <w:iCs/>
          <w:sz w:val="24"/>
          <w:szCs w:val="20"/>
        </w:rPr>
        <w:t xml:space="preserve">and other written </w:t>
      </w:r>
      <w:r w:rsidR="008A4D18">
        <w:rPr>
          <w:rFonts w:ascii="Garamond" w:hAnsi="Garamond"/>
          <w:iCs/>
          <w:sz w:val="24"/>
          <w:szCs w:val="20"/>
        </w:rPr>
        <w:t xml:space="preserve">forms of </w:t>
      </w:r>
      <w:r w:rsidR="00E06FE4">
        <w:rPr>
          <w:rFonts w:ascii="Garamond" w:hAnsi="Garamond"/>
          <w:iCs/>
          <w:sz w:val="24"/>
          <w:szCs w:val="20"/>
        </w:rPr>
        <w:t>guidance</w:t>
      </w:r>
      <w:r w:rsidR="006E19D0">
        <w:rPr>
          <w:rFonts w:ascii="Garamond" w:hAnsi="Garamond"/>
          <w:iCs/>
          <w:sz w:val="24"/>
          <w:szCs w:val="20"/>
        </w:rPr>
        <w:t>; it was also provided to local program</w:t>
      </w:r>
      <w:r w:rsidR="00DD2A0C" w:rsidRPr="00DD2A0C">
        <w:rPr>
          <w:rFonts w:ascii="Garamond" w:hAnsi="Garamond"/>
          <w:iCs/>
          <w:sz w:val="24"/>
          <w:szCs w:val="20"/>
        </w:rPr>
        <w:t xml:space="preserve"> directors </w:t>
      </w:r>
      <w:r w:rsidR="006E19D0">
        <w:rPr>
          <w:rFonts w:ascii="Garamond" w:hAnsi="Garamond"/>
          <w:iCs/>
          <w:sz w:val="24"/>
          <w:szCs w:val="20"/>
        </w:rPr>
        <w:t xml:space="preserve">statewide </w:t>
      </w:r>
      <w:r w:rsidR="00DD2A0C" w:rsidRPr="00DD2A0C">
        <w:rPr>
          <w:rFonts w:ascii="Garamond" w:hAnsi="Garamond"/>
          <w:iCs/>
          <w:sz w:val="24"/>
          <w:szCs w:val="20"/>
        </w:rPr>
        <w:t xml:space="preserve">through </w:t>
      </w:r>
      <w:r w:rsidR="008A4D18">
        <w:rPr>
          <w:rFonts w:ascii="Garamond" w:hAnsi="Garamond"/>
          <w:iCs/>
          <w:sz w:val="24"/>
          <w:szCs w:val="20"/>
        </w:rPr>
        <w:t xml:space="preserve">regular </w:t>
      </w:r>
      <w:r w:rsidR="00E06FE4">
        <w:rPr>
          <w:rFonts w:ascii="Garamond" w:hAnsi="Garamond"/>
          <w:iCs/>
          <w:sz w:val="24"/>
          <w:szCs w:val="20"/>
        </w:rPr>
        <w:t>virtua</w:t>
      </w:r>
      <w:r w:rsidR="00862549">
        <w:rPr>
          <w:rFonts w:ascii="Garamond" w:hAnsi="Garamond"/>
          <w:iCs/>
          <w:sz w:val="24"/>
          <w:szCs w:val="20"/>
        </w:rPr>
        <w:t>l</w:t>
      </w:r>
      <w:r w:rsidR="00DD2A0C" w:rsidRPr="00DD2A0C">
        <w:rPr>
          <w:rFonts w:ascii="Garamond" w:hAnsi="Garamond"/>
          <w:iCs/>
          <w:sz w:val="24"/>
          <w:szCs w:val="20"/>
        </w:rPr>
        <w:t xml:space="preserve"> meetings</w:t>
      </w:r>
      <w:r w:rsidR="00C17BD5">
        <w:rPr>
          <w:rFonts w:ascii="Garamond" w:hAnsi="Garamond"/>
          <w:iCs/>
          <w:sz w:val="24"/>
          <w:szCs w:val="20"/>
        </w:rPr>
        <w:t>.  These meetings were</w:t>
      </w:r>
      <w:r w:rsidR="00DD2A0C" w:rsidRPr="00DD2A0C">
        <w:rPr>
          <w:rFonts w:ascii="Garamond" w:hAnsi="Garamond"/>
          <w:iCs/>
          <w:sz w:val="24"/>
          <w:szCs w:val="20"/>
        </w:rPr>
        <w:t xml:space="preserve"> conducted via GoToMeeting</w:t>
      </w:r>
      <w:r w:rsidR="00E06FE4">
        <w:rPr>
          <w:rFonts w:ascii="Garamond" w:hAnsi="Garamond"/>
          <w:iCs/>
          <w:sz w:val="24"/>
          <w:szCs w:val="20"/>
        </w:rPr>
        <w:t xml:space="preserve"> </w:t>
      </w:r>
      <w:r w:rsidR="00C17BD5">
        <w:rPr>
          <w:rFonts w:ascii="Garamond" w:hAnsi="Garamond"/>
          <w:iCs/>
          <w:sz w:val="24"/>
          <w:szCs w:val="20"/>
        </w:rPr>
        <w:t xml:space="preserve">monthly </w:t>
      </w:r>
      <w:r w:rsidR="00A0151C">
        <w:rPr>
          <w:rFonts w:ascii="Garamond" w:hAnsi="Garamond"/>
          <w:iCs/>
          <w:sz w:val="24"/>
          <w:szCs w:val="20"/>
        </w:rPr>
        <w:t>until the onset of the COVID pandemic</w:t>
      </w:r>
      <w:r w:rsidR="00C13448">
        <w:rPr>
          <w:rFonts w:ascii="Garamond" w:hAnsi="Garamond"/>
          <w:iCs/>
          <w:sz w:val="24"/>
          <w:szCs w:val="20"/>
        </w:rPr>
        <w:t>, at which</w:t>
      </w:r>
      <w:r w:rsidR="00A0151C">
        <w:rPr>
          <w:rFonts w:ascii="Garamond" w:hAnsi="Garamond"/>
          <w:iCs/>
          <w:sz w:val="24"/>
          <w:szCs w:val="20"/>
        </w:rPr>
        <w:t xml:space="preserve"> point NMHED-AE </w:t>
      </w:r>
      <w:r w:rsidR="00E06FE4">
        <w:rPr>
          <w:rFonts w:ascii="Garamond" w:hAnsi="Garamond"/>
          <w:iCs/>
          <w:sz w:val="24"/>
          <w:szCs w:val="20"/>
        </w:rPr>
        <w:t>began holding</w:t>
      </w:r>
      <w:r w:rsidR="00A0151C">
        <w:rPr>
          <w:rFonts w:ascii="Garamond" w:hAnsi="Garamond"/>
          <w:iCs/>
          <w:sz w:val="24"/>
          <w:szCs w:val="20"/>
        </w:rPr>
        <w:t xml:space="preserve"> weekly meetings to provide additional direction and support.</w:t>
      </w:r>
      <w:r w:rsidR="00DD2A0C" w:rsidRPr="00DD2A0C">
        <w:rPr>
          <w:rFonts w:ascii="Garamond" w:hAnsi="Garamond"/>
          <w:iCs/>
          <w:sz w:val="24"/>
          <w:szCs w:val="20"/>
        </w:rPr>
        <w:t xml:space="preserve"> </w:t>
      </w:r>
      <w:r w:rsidR="00A0151C">
        <w:rPr>
          <w:rFonts w:ascii="Garamond" w:hAnsi="Garamond"/>
          <w:iCs/>
          <w:sz w:val="24"/>
          <w:szCs w:val="20"/>
        </w:rPr>
        <w:t xml:space="preserve"> </w:t>
      </w:r>
      <w:r w:rsidR="003A7765">
        <w:rPr>
          <w:rFonts w:ascii="Garamond" w:hAnsi="Garamond"/>
          <w:iCs/>
          <w:sz w:val="24"/>
          <w:szCs w:val="20"/>
        </w:rPr>
        <w:t>P</w:t>
      </w:r>
      <w:r w:rsidR="00DD2A0C" w:rsidRPr="00DD2A0C">
        <w:rPr>
          <w:rFonts w:ascii="Garamond" w:hAnsi="Garamond"/>
          <w:iCs/>
          <w:sz w:val="24"/>
          <w:szCs w:val="20"/>
        </w:rPr>
        <w:t xml:space="preserve">rograms </w:t>
      </w:r>
      <w:r w:rsidR="00D63DB4">
        <w:rPr>
          <w:rFonts w:ascii="Garamond" w:hAnsi="Garamond"/>
          <w:iCs/>
          <w:sz w:val="24"/>
          <w:szCs w:val="20"/>
        </w:rPr>
        <w:t xml:space="preserve">also </w:t>
      </w:r>
      <w:r w:rsidR="00DD2A0C" w:rsidRPr="00DD2A0C">
        <w:rPr>
          <w:rFonts w:ascii="Garamond" w:hAnsi="Garamond"/>
          <w:iCs/>
          <w:sz w:val="24"/>
          <w:szCs w:val="20"/>
        </w:rPr>
        <w:t>received</w:t>
      </w:r>
      <w:r w:rsidR="004B6A8D">
        <w:rPr>
          <w:rFonts w:ascii="Garamond" w:hAnsi="Garamond"/>
          <w:iCs/>
          <w:sz w:val="24"/>
          <w:szCs w:val="20"/>
        </w:rPr>
        <w:t xml:space="preserve"> TA</w:t>
      </w:r>
      <w:r w:rsidR="00DD2A0C" w:rsidRPr="00DD2A0C">
        <w:rPr>
          <w:rFonts w:ascii="Garamond" w:hAnsi="Garamond"/>
          <w:iCs/>
          <w:sz w:val="24"/>
          <w:szCs w:val="20"/>
        </w:rPr>
        <w:t xml:space="preserve"> </w:t>
      </w:r>
      <w:r w:rsidR="003A7765">
        <w:rPr>
          <w:rFonts w:ascii="Garamond" w:hAnsi="Garamond"/>
          <w:iCs/>
          <w:sz w:val="24"/>
          <w:szCs w:val="20"/>
        </w:rPr>
        <w:t>prompted by any flags or concerns as the result of regular</w:t>
      </w:r>
      <w:r w:rsidR="00DD2A0C" w:rsidRPr="00DD2A0C">
        <w:rPr>
          <w:rFonts w:ascii="Garamond" w:hAnsi="Garamond"/>
          <w:iCs/>
          <w:sz w:val="24"/>
          <w:szCs w:val="20"/>
        </w:rPr>
        <w:t xml:space="preserve"> </w:t>
      </w:r>
      <w:r w:rsidR="00D91C24">
        <w:rPr>
          <w:rFonts w:ascii="Garamond" w:hAnsi="Garamond"/>
          <w:iCs/>
          <w:sz w:val="24"/>
          <w:szCs w:val="20"/>
        </w:rPr>
        <w:t xml:space="preserve">NMHED-AE </w:t>
      </w:r>
      <w:r w:rsidR="00DD2A0C" w:rsidRPr="00DD2A0C">
        <w:rPr>
          <w:rFonts w:ascii="Garamond" w:hAnsi="Garamond"/>
          <w:iCs/>
          <w:sz w:val="24"/>
          <w:szCs w:val="20"/>
        </w:rPr>
        <w:t xml:space="preserve">desk monitoring of program </w:t>
      </w:r>
      <w:r w:rsidR="003A7765">
        <w:rPr>
          <w:rFonts w:ascii="Garamond" w:hAnsi="Garamond"/>
          <w:iCs/>
          <w:sz w:val="24"/>
          <w:szCs w:val="20"/>
        </w:rPr>
        <w:t>data</w:t>
      </w:r>
      <w:r w:rsidR="00A0151C">
        <w:rPr>
          <w:rFonts w:ascii="Garamond" w:hAnsi="Garamond"/>
          <w:iCs/>
          <w:sz w:val="24"/>
          <w:szCs w:val="20"/>
        </w:rPr>
        <w:t xml:space="preserve">.  The </w:t>
      </w:r>
      <w:r w:rsidR="00887DBD">
        <w:rPr>
          <w:rFonts w:ascii="Garamond" w:hAnsi="Garamond"/>
          <w:iCs/>
          <w:sz w:val="24"/>
          <w:szCs w:val="20"/>
        </w:rPr>
        <w:t xml:space="preserve">new </w:t>
      </w:r>
      <w:r w:rsidR="00A0151C">
        <w:rPr>
          <w:rFonts w:ascii="Garamond" w:hAnsi="Garamond"/>
          <w:iCs/>
          <w:sz w:val="24"/>
          <w:szCs w:val="20"/>
        </w:rPr>
        <w:t xml:space="preserve">PD Coordinator escalated the </w:t>
      </w:r>
      <w:r w:rsidR="004B6A8D">
        <w:rPr>
          <w:rFonts w:ascii="Garamond" w:hAnsi="Garamond"/>
          <w:iCs/>
          <w:sz w:val="24"/>
          <w:szCs w:val="20"/>
        </w:rPr>
        <w:t xml:space="preserve">ongoing </w:t>
      </w:r>
      <w:r w:rsidR="00A0151C">
        <w:rPr>
          <w:rFonts w:ascii="Garamond" w:hAnsi="Garamond"/>
          <w:iCs/>
          <w:sz w:val="24"/>
          <w:szCs w:val="20"/>
        </w:rPr>
        <w:t xml:space="preserve">provision of technical assistance on the distance learning front when COVID hit, providing resources </w:t>
      </w:r>
      <w:r w:rsidR="00C13448">
        <w:rPr>
          <w:rFonts w:ascii="Garamond" w:hAnsi="Garamond"/>
          <w:iCs/>
          <w:sz w:val="24"/>
          <w:szCs w:val="20"/>
        </w:rPr>
        <w:t xml:space="preserve">(and ultimately creating a website) </w:t>
      </w:r>
      <w:r w:rsidR="00A0151C">
        <w:rPr>
          <w:rFonts w:ascii="Garamond" w:hAnsi="Garamond"/>
          <w:iCs/>
          <w:sz w:val="24"/>
          <w:szCs w:val="20"/>
        </w:rPr>
        <w:t xml:space="preserve">and </w:t>
      </w:r>
      <w:r w:rsidR="004B6A8D">
        <w:rPr>
          <w:rFonts w:ascii="Garamond" w:hAnsi="Garamond"/>
          <w:iCs/>
          <w:sz w:val="24"/>
          <w:szCs w:val="20"/>
        </w:rPr>
        <w:t>invaluable</w:t>
      </w:r>
      <w:r w:rsidR="00A0151C">
        <w:rPr>
          <w:rFonts w:ascii="Garamond" w:hAnsi="Garamond"/>
          <w:iCs/>
          <w:sz w:val="24"/>
          <w:szCs w:val="20"/>
        </w:rPr>
        <w:t xml:space="preserve"> group and one-on-one guidance</w:t>
      </w:r>
      <w:r w:rsidR="004B6A8D">
        <w:rPr>
          <w:rFonts w:ascii="Garamond" w:hAnsi="Garamond"/>
          <w:iCs/>
          <w:sz w:val="24"/>
          <w:szCs w:val="20"/>
        </w:rPr>
        <w:t xml:space="preserve"> </w:t>
      </w:r>
      <w:r w:rsidR="00A0151C">
        <w:rPr>
          <w:rFonts w:ascii="Garamond" w:hAnsi="Garamond"/>
          <w:iCs/>
          <w:sz w:val="24"/>
          <w:szCs w:val="20"/>
        </w:rPr>
        <w:t>as programs made the rapid transition to almost entirely distance support and instruction</w:t>
      </w:r>
      <w:r w:rsidR="004B6A8D">
        <w:rPr>
          <w:rFonts w:ascii="Garamond" w:hAnsi="Garamond"/>
          <w:iCs/>
          <w:sz w:val="24"/>
          <w:szCs w:val="20"/>
        </w:rPr>
        <w:t xml:space="preserve"> for students</w:t>
      </w:r>
      <w:r w:rsidR="00A0151C">
        <w:rPr>
          <w:rFonts w:ascii="Garamond" w:hAnsi="Garamond"/>
          <w:iCs/>
          <w:sz w:val="24"/>
          <w:szCs w:val="20"/>
        </w:rPr>
        <w:t>.</w:t>
      </w:r>
      <w:r w:rsidR="00DD2A0C" w:rsidRPr="00DD2A0C">
        <w:rPr>
          <w:rFonts w:ascii="Garamond" w:hAnsi="Garamond"/>
          <w:iCs/>
          <w:sz w:val="24"/>
          <w:szCs w:val="20"/>
        </w:rPr>
        <w:t xml:space="preserve">  </w:t>
      </w:r>
    </w:p>
    <w:p w:rsidR="004B6A8D" w:rsidRPr="001B07B8" w:rsidRDefault="00960CEA" w:rsidP="008C1B16">
      <w:pPr>
        <w:spacing w:after="120"/>
        <w:ind w:right="72"/>
        <w:rPr>
          <w:rFonts w:ascii="Garamond" w:hAnsi="Garamond"/>
          <w:iCs/>
          <w:sz w:val="24"/>
          <w:szCs w:val="20"/>
        </w:rPr>
      </w:pPr>
      <w:r w:rsidRPr="008C1B16">
        <w:rPr>
          <w:rFonts w:ascii="Garamond" w:hAnsi="Garamond" w:cs="Times New Roman"/>
          <w:b/>
          <w:sz w:val="24"/>
          <w:szCs w:val="20"/>
        </w:rPr>
        <w:lastRenderedPageBreak/>
        <w:t>Monitoring and evaluation of the quality and improvement of adult education activities as described in section 223(1)(d).</w:t>
      </w:r>
      <w:r w:rsidR="008C1B16">
        <w:rPr>
          <w:rFonts w:ascii="Garamond" w:hAnsi="Garamond"/>
          <w:iCs/>
          <w:sz w:val="24"/>
          <w:szCs w:val="20"/>
        </w:rPr>
        <w:t xml:space="preserve">  </w:t>
      </w:r>
      <w:r w:rsidR="004B6A8D" w:rsidRPr="004B6A8D">
        <w:rPr>
          <w:rFonts w:ascii="Garamond" w:hAnsi="Garamond" w:cs="Times New Roman"/>
          <w:sz w:val="24"/>
          <w:szCs w:val="20"/>
        </w:rPr>
        <w:t>NM</w:t>
      </w:r>
      <w:r w:rsidR="004B6A8D">
        <w:rPr>
          <w:rFonts w:ascii="Garamond" w:hAnsi="Garamond" w:cs="Times New Roman"/>
          <w:sz w:val="24"/>
          <w:szCs w:val="20"/>
        </w:rPr>
        <w:t>HED-AE</w:t>
      </w:r>
      <w:r w:rsidR="004B6A8D" w:rsidRPr="004B6A8D">
        <w:rPr>
          <w:rFonts w:ascii="Garamond" w:hAnsi="Garamond" w:cs="Times New Roman"/>
          <w:sz w:val="24"/>
          <w:szCs w:val="20"/>
        </w:rPr>
        <w:t xml:space="preserve"> focuse</w:t>
      </w:r>
      <w:r w:rsidR="00050BD8">
        <w:rPr>
          <w:rFonts w:ascii="Garamond" w:hAnsi="Garamond" w:cs="Times New Roman"/>
          <w:sz w:val="24"/>
          <w:szCs w:val="20"/>
        </w:rPr>
        <w:t>s</w:t>
      </w:r>
      <w:r w:rsidR="004B6A8D" w:rsidRPr="004B6A8D">
        <w:rPr>
          <w:rFonts w:ascii="Garamond" w:hAnsi="Garamond" w:cs="Times New Roman"/>
          <w:sz w:val="24"/>
          <w:szCs w:val="20"/>
        </w:rPr>
        <w:t xml:space="preserve"> all monitoring and evaluation activities on improving the quality </w:t>
      </w:r>
      <w:r w:rsidR="00760131">
        <w:rPr>
          <w:rFonts w:ascii="Garamond" w:hAnsi="Garamond" w:cs="Times New Roman"/>
          <w:sz w:val="24"/>
          <w:szCs w:val="20"/>
        </w:rPr>
        <w:t xml:space="preserve">and efficacy </w:t>
      </w:r>
      <w:r w:rsidR="004B6A8D" w:rsidRPr="004B6A8D">
        <w:rPr>
          <w:rFonts w:ascii="Garamond" w:hAnsi="Garamond" w:cs="Times New Roman"/>
          <w:sz w:val="24"/>
          <w:szCs w:val="20"/>
        </w:rPr>
        <w:t>of adult education and literacy activities throughout the state</w:t>
      </w:r>
      <w:r w:rsidR="00050BD8">
        <w:rPr>
          <w:rFonts w:ascii="Garamond" w:hAnsi="Garamond" w:cs="Times New Roman"/>
          <w:sz w:val="24"/>
          <w:szCs w:val="20"/>
        </w:rPr>
        <w:t xml:space="preserve">, and a designated state office Program Improvement Coordinator oversees </w:t>
      </w:r>
      <w:r w:rsidR="003874E8">
        <w:rPr>
          <w:rFonts w:ascii="Garamond" w:hAnsi="Garamond" w:cs="Times New Roman"/>
          <w:sz w:val="24"/>
          <w:szCs w:val="20"/>
        </w:rPr>
        <w:t>efforts on this front.</w:t>
      </w:r>
      <w:r w:rsidR="001B07B8">
        <w:rPr>
          <w:rFonts w:ascii="Garamond" w:hAnsi="Garamond" w:cs="Times New Roman"/>
          <w:sz w:val="24"/>
          <w:szCs w:val="20"/>
        </w:rPr>
        <w:t xml:space="preserve"> </w:t>
      </w:r>
      <w:r w:rsidR="001B07B8">
        <w:rPr>
          <w:rFonts w:ascii="Garamond" w:hAnsi="Garamond"/>
          <w:iCs/>
          <w:sz w:val="24"/>
          <w:szCs w:val="20"/>
        </w:rPr>
        <w:t>Using a structured Risk Assessment Too</w:t>
      </w:r>
      <w:r w:rsidR="00862549">
        <w:rPr>
          <w:rFonts w:ascii="Garamond" w:hAnsi="Garamond"/>
          <w:iCs/>
          <w:sz w:val="24"/>
          <w:szCs w:val="20"/>
        </w:rPr>
        <w:t>l-based living document process</w:t>
      </w:r>
      <w:r w:rsidR="001B07B8">
        <w:rPr>
          <w:rFonts w:ascii="Garamond" w:hAnsi="Garamond"/>
          <w:iCs/>
          <w:sz w:val="24"/>
          <w:szCs w:val="20"/>
        </w:rPr>
        <w:t xml:space="preserve"> </w:t>
      </w:r>
      <w:r w:rsidR="00862549">
        <w:rPr>
          <w:rFonts w:ascii="Garamond" w:hAnsi="Garamond"/>
          <w:iCs/>
          <w:sz w:val="24"/>
          <w:szCs w:val="20"/>
        </w:rPr>
        <w:t>to include</w:t>
      </w:r>
      <w:r w:rsidR="001B07B8">
        <w:rPr>
          <w:rFonts w:ascii="Garamond" w:hAnsi="Garamond"/>
          <w:iCs/>
          <w:sz w:val="24"/>
          <w:szCs w:val="20"/>
        </w:rPr>
        <w:t xml:space="preserve"> </w:t>
      </w:r>
      <w:r w:rsidR="00DC2012">
        <w:rPr>
          <w:rFonts w:ascii="Garamond" w:hAnsi="Garamond"/>
          <w:iCs/>
          <w:sz w:val="24"/>
          <w:szCs w:val="20"/>
        </w:rPr>
        <w:t>situational</w:t>
      </w:r>
      <w:r w:rsidR="001B07B8">
        <w:rPr>
          <w:rFonts w:ascii="Garamond" w:hAnsi="Garamond"/>
          <w:iCs/>
          <w:sz w:val="24"/>
          <w:szCs w:val="20"/>
        </w:rPr>
        <w:t xml:space="preserve"> factors prompting the need for a visit (e.g. </w:t>
      </w:r>
      <w:r w:rsidR="00087FD7">
        <w:rPr>
          <w:rFonts w:ascii="Garamond" w:hAnsi="Garamond"/>
          <w:iCs/>
          <w:sz w:val="24"/>
          <w:szCs w:val="20"/>
        </w:rPr>
        <w:t xml:space="preserve">unexpected </w:t>
      </w:r>
      <w:r w:rsidR="001B07B8">
        <w:rPr>
          <w:rFonts w:ascii="Garamond" w:hAnsi="Garamond"/>
          <w:iCs/>
          <w:sz w:val="24"/>
          <w:szCs w:val="20"/>
        </w:rPr>
        <w:t xml:space="preserve">program leadership changes), </w:t>
      </w:r>
      <w:r w:rsidR="001B07B8" w:rsidRPr="00DD2A0C">
        <w:rPr>
          <w:rFonts w:ascii="Garamond" w:hAnsi="Garamond"/>
          <w:iCs/>
          <w:sz w:val="24"/>
          <w:szCs w:val="20"/>
        </w:rPr>
        <w:t>NM</w:t>
      </w:r>
      <w:r w:rsidR="001B07B8">
        <w:rPr>
          <w:rFonts w:ascii="Garamond" w:hAnsi="Garamond"/>
          <w:iCs/>
          <w:sz w:val="24"/>
          <w:szCs w:val="20"/>
        </w:rPr>
        <w:t>HED-AE</w:t>
      </w:r>
      <w:r w:rsidR="001B07B8" w:rsidRPr="00DD2A0C">
        <w:rPr>
          <w:rFonts w:ascii="Garamond" w:hAnsi="Garamond"/>
          <w:iCs/>
          <w:sz w:val="24"/>
          <w:szCs w:val="20"/>
        </w:rPr>
        <w:t xml:space="preserve"> conducted in-person site visits to local providers focusing on program management</w:t>
      </w:r>
      <w:r w:rsidR="001B07B8">
        <w:rPr>
          <w:rFonts w:ascii="Garamond" w:hAnsi="Garamond"/>
          <w:iCs/>
          <w:sz w:val="24"/>
          <w:szCs w:val="20"/>
        </w:rPr>
        <w:t>, operations</w:t>
      </w:r>
      <w:r w:rsidR="001B07B8" w:rsidRPr="00DD2A0C">
        <w:rPr>
          <w:rFonts w:ascii="Garamond" w:hAnsi="Garamond"/>
          <w:iCs/>
          <w:sz w:val="24"/>
          <w:szCs w:val="20"/>
        </w:rPr>
        <w:t xml:space="preserve">, </w:t>
      </w:r>
      <w:r w:rsidR="001B07B8">
        <w:rPr>
          <w:rFonts w:ascii="Garamond" w:hAnsi="Garamond"/>
          <w:iCs/>
          <w:sz w:val="24"/>
          <w:szCs w:val="20"/>
        </w:rPr>
        <w:t xml:space="preserve">and instruction; </w:t>
      </w:r>
      <w:r w:rsidR="001B07B8" w:rsidRPr="00DD2A0C">
        <w:rPr>
          <w:rFonts w:ascii="Garamond" w:hAnsi="Garamond"/>
          <w:iCs/>
          <w:sz w:val="24"/>
          <w:szCs w:val="20"/>
        </w:rPr>
        <w:t xml:space="preserve">data </w:t>
      </w:r>
      <w:r w:rsidR="001B07B8">
        <w:rPr>
          <w:rFonts w:ascii="Garamond" w:hAnsi="Garamond"/>
          <w:iCs/>
          <w:sz w:val="24"/>
          <w:szCs w:val="20"/>
        </w:rPr>
        <w:t xml:space="preserve">entry and </w:t>
      </w:r>
      <w:r w:rsidR="001B07B8" w:rsidRPr="00DD2A0C">
        <w:rPr>
          <w:rFonts w:ascii="Garamond" w:hAnsi="Garamond"/>
          <w:iCs/>
          <w:sz w:val="24"/>
          <w:szCs w:val="20"/>
        </w:rPr>
        <w:t>managemen</w:t>
      </w:r>
      <w:r w:rsidR="00DC2012">
        <w:rPr>
          <w:rFonts w:ascii="Garamond" w:hAnsi="Garamond"/>
          <w:iCs/>
          <w:sz w:val="24"/>
          <w:szCs w:val="20"/>
        </w:rPr>
        <w:t>t</w:t>
      </w:r>
      <w:r w:rsidR="001B07B8">
        <w:rPr>
          <w:rFonts w:ascii="Garamond" w:hAnsi="Garamond"/>
          <w:iCs/>
          <w:sz w:val="24"/>
          <w:szCs w:val="20"/>
        </w:rPr>
        <w:t>;</w:t>
      </w:r>
      <w:r w:rsidR="001B07B8" w:rsidRPr="00DD2A0C">
        <w:rPr>
          <w:rFonts w:ascii="Garamond" w:hAnsi="Garamond"/>
          <w:iCs/>
          <w:sz w:val="24"/>
          <w:szCs w:val="20"/>
        </w:rPr>
        <w:t xml:space="preserve"> and fiscal </w:t>
      </w:r>
      <w:r w:rsidR="005A4412">
        <w:rPr>
          <w:rFonts w:ascii="Garamond" w:hAnsi="Garamond"/>
          <w:iCs/>
          <w:sz w:val="24"/>
          <w:szCs w:val="20"/>
        </w:rPr>
        <w:t>matters</w:t>
      </w:r>
      <w:r w:rsidR="001B07B8" w:rsidRPr="00DD2A0C">
        <w:rPr>
          <w:rFonts w:ascii="Garamond" w:hAnsi="Garamond"/>
          <w:iCs/>
          <w:sz w:val="24"/>
          <w:szCs w:val="20"/>
        </w:rPr>
        <w:t xml:space="preserve">. </w:t>
      </w:r>
      <w:r w:rsidR="001B07B8">
        <w:rPr>
          <w:rFonts w:ascii="Garamond" w:hAnsi="Garamond"/>
          <w:iCs/>
          <w:sz w:val="24"/>
          <w:szCs w:val="20"/>
        </w:rPr>
        <w:t xml:space="preserve">  The COVID pandemic derailed </w:t>
      </w:r>
      <w:r w:rsidR="00862549">
        <w:rPr>
          <w:rFonts w:ascii="Garamond" w:hAnsi="Garamond"/>
          <w:iCs/>
          <w:sz w:val="24"/>
          <w:szCs w:val="20"/>
        </w:rPr>
        <w:t>planned</w:t>
      </w:r>
      <w:r w:rsidR="001B07B8">
        <w:rPr>
          <w:rFonts w:ascii="Garamond" w:hAnsi="Garamond"/>
          <w:iCs/>
          <w:sz w:val="24"/>
          <w:szCs w:val="20"/>
        </w:rPr>
        <w:t xml:space="preserve"> schedul</w:t>
      </w:r>
      <w:r w:rsidR="00584149">
        <w:rPr>
          <w:rFonts w:ascii="Garamond" w:hAnsi="Garamond"/>
          <w:iCs/>
          <w:sz w:val="24"/>
          <w:szCs w:val="20"/>
        </w:rPr>
        <w:t>ing</w:t>
      </w:r>
      <w:r w:rsidR="001B07B8">
        <w:rPr>
          <w:rFonts w:ascii="Garamond" w:hAnsi="Garamond"/>
          <w:iCs/>
          <w:sz w:val="24"/>
          <w:szCs w:val="20"/>
        </w:rPr>
        <w:t xml:space="preserve"> of these visits, </w:t>
      </w:r>
      <w:r w:rsidR="00DC2012">
        <w:rPr>
          <w:rFonts w:ascii="Garamond" w:hAnsi="Garamond"/>
          <w:iCs/>
          <w:sz w:val="24"/>
          <w:szCs w:val="20"/>
        </w:rPr>
        <w:t>so</w:t>
      </w:r>
      <w:r w:rsidR="001B07B8">
        <w:rPr>
          <w:rFonts w:ascii="Garamond" w:hAnsi="Garamond"/>
          <w:iCs/>
          <w:sz w:val="24"/>
          <w:szCs w:val="20"/>
        </w:rPr>
        <w:t xml:space="preserve"> last year NMHED launched into designing a new virtual</w:t>
      </w:r>
      <w:r w:rsidR="005A4412">
        <w:rPr>
          <w:rFonts w:ascii="Garamond" w:hAnsi="Garamond"/>
          <w:iCs/>
          <w:sz w:val="24"/>
          <w:szCs w:val="20"/>
        </w:rPr>
        <w:t>/hybrid</w:t>
      </w:r>
      <w:r w:rsidR="001B07B8">
        <w:rPr>
          <w:rFonts w:ascii="Garamond" w:hAnsi="Garamond"/>
          <w:iCs/>
          <w:sz w:val="24"/>
          <w:szCs w:val="20"/>
        </w:rPr>
        <w:t xml:space="preserve"> site visit and monitoring process for implementation in PY 2020/2021.  Comprehensive desk audits were performed quarterly</w:t>
      </w:r>
      <w:r w:rsidR="00477F29">
        <w:rPr>
          <w:rFonts w:ascii="Garamond" w:hAnsi="Garamond"/>
          <w:iCs/>
          <w:sz w:val="24"/>
          <w:szCs w:val="20"/>
        </w:rPr>
        <w:t xml:space="preserve"> with additional spot-checks as needed</w:t>
      </w:r>
      <w:r w:rsidR="001B07B8">
        <w:rPr>
          <w:rFonts w:ascii="Garamond" w:hAnsi="Garamond"/>
          <w:iCs/>
          <w:sz w:val="24"/>
          <w:szCs w:val="20"/>
        </w:rPr>
        <w:t xml:space="preserve">, and TA was provided to local programs both individually and collectively based on issues discovered and trends observed. The NMHED-AE </w:t>
      </w:r>
      <w:r w:rsidR="00A10C77">
        <w:rPr>
          <w:rFonts w:ascii="Garamond" w:hAnsi="Garamond"/>
          <w:iCs/>
          <w:sz w:val="24"/>
          <w:szCs w:val="20"/>
        </w:rPr>
        <w:t>D</w:t>
      </w:r>
      <w:r w:rsidR="001B07B8">
        <w:rPr>
          <w:rFonts w:ascii="Garamond" w:hAnsi="Garamond"/>
          <w:iCs/>
          <w:sz w:val="24"/>
          <w:szCs w:val="20"/>
        </w:rPr>
        <w:t xml:space="preserve">ata </w:t>
      </w:r>
      <w:r w:rsidR="00A10C77">
        <w:rPr>
          <w:rFonts w:ascii="Garamond" w:hAnsi="Garamond"/>
          <w:iCs/>
          <w:sz w:val="24"/>
          <w:szCs w:val="20"/>
        </w:rPr>
        <w:t>M</w:t>
      </w:r>
      <w:r w:rsidR="001B07B8">
        <w:rPr>
          <w:rFonts w:ascii="Garamond" w:hAnsi="Garamond"/>
          <w:iCs/>
          <w:sz w:val="24"/>
          <w:szCs w:val="20"/>
        </w:rPr>
        <w:t xml:space="preserve">anager </w:t>
      </w:r>
      <w:r w:rsidR="00DC2012">
        <w:rPr>
          <w:rFonts w:ascii="Garamond" w:hAnsi="Garamond"/>
          <w:iCs/>
          <w:sz w:val="24"/>
          <w:szCs w:val="20"/>
        </w:rPr>
        <w:t xml:space="preserve">had planned to </w:t>
      </w:r>
      <w:r w:rsidR="001B07B8">
        <w:rPr>
          <w:rFonts w:ascii="Garamond" w:hAnsi="Garamond"/>
          <w:iCs/>
          <w:sz w:val="24"/>
          <w:szCs w:val="20"/>
        </w:rPr>
        <w:t xml:space="preserve">initiate a statewide work group </w:t>
      </w:r>
      <w:r w:rsidR="008A4D18">
        <w:rPr>
          <w:rFonts w:ascii="Garamond" w:hAnsi="Garamond"/>
          <w:iCs/>
          <w:sz w:val="24"/>
          <w:szCs w:val="20"/>
        </w:rPr>
        <w:t xml:space="preserve">(assembled) </w:t>
      </w:r>
      <w:r w:rsidR="001B07B8">
        <w:rPr>
          <w:rFonts w:ascii="Garamond" w:hAnsi="Garamond"/>
          <w:iCs/>
          <w:sz w:val="24"/>
          <w:szCs w:val="20"/>
        </w:rPr>
        <w:t>to provide structured focus on data collection and management issues and their relationship to program outcomes and improvement efforts</w:t>
      </w:r>
      <w:r w:rsidR="00DC2012">
        <w:rPr>
          <w:rFonts w:ascii="Garamond" w:hAnsi="Garamond"/>
          <w:iCs/>
          <w:sz w:val="24"/>
          <w:szCs w:val="20"/>
        </w:rPr>
        <w:t xml:space="preserve">, but </w:t>
      </w:r>
      <w:r w:rsidR="008A4D18">
        <w:rPr>
          <w:rFonts w:ascii="Garamond" w:hAnsi="Garamond"/>
          <w:iCs/>
          <w:sz w:val="24"/>
          <w:szCs w:val="20"/>
        </w:rPr>
        <w:t xml:space="preserve">progress on </w:t>
      </w:r>
      <w:r w:rsidR="00DC2012">
        <w:rPr>
          <w:rFonts w:ascii="Garamond" w:hAnsi="Garamond"/>
          <w:iCs/>
          <w:sz w:val="24"/>
          <w:szCs w:val="20"/>
        </w:rPr>
        <w:t xml:space="preserve">this </w:t>
      </w:r>
      <w:r w:rsidR="00760131">
        <w:rPr>
          <w:rFonts w:ascii="Garamond" w:hAnsi="Garamond"/>
          <w:iCs/>
          <w:sz w:val="24"/>
          <w:szCs w:val="20"/>
        </w:rPr>
        <w:t>front</w:t>
      </w:r>
      <w:r w:rsidR="00DC2012">
        <w:rPr>
          <w:rFonts w:ascii="Garamond" w:hAnsi="Garamond"/>
          <w:iCs/>
          <w:sz w:val="24"/>
          <w:szCs w:val="20"/>
        </w:rPr>
        <w:t xml:space="preserve"> was likewise derailed when the pandemic hit</w:t>
      </w:r>
      <w:r w:rsidR="00760131">
        <w:rPr>
          <w:rFonts w:ascii="Garamond" w:hAnsi="Garamond"/>
          <w:iCs/>
          <w:sz w:val="24"/>
          <w:szCs w:val="20"/>
        </w:rPr>
        <w:t>, so it</w:t>
      </w:r>
      <w:r w:rsidR="00DC2012">
        <w:rPr>
          <w:rFonts w:ascii="Garamond" w:hAnsi="Garamond"/>
          <w:iCs/>
          <w:sz w:val="24"/>
          <w:szCs w:val="20"/>
        </w:rPr>
        <w:t xml:space="preserve"> had to be slated </w:t>
      </w:r>
      <w:r w:rsidR="00AB3BBD">
        <w:rPr>
          <w:rFonts w:ascii="Garamond" w:hAnsi="Garamond"/>
          <w:iCs/>
          <w:sz w:val="24"/>
          <w:szCs w:val="20"/>
        </w:rPr>
        <w:t>for</w:t>
      </w:r>
      <w:r w:rsidR="00DC2012">
        <w:rPr>
          <w:rFonts w:ascii="Garamond" w:hAnsi="Garamond"/>
          <w:iCs/>
          <w:sz w:val="24"/>
          <w:szCs w:val="20"/>
        </w:rPr>
        <w:t xml:space="preserve"> </w:t>
      </w:r>
      <w:r w:rsidR="008A4D18">
        <w:rPr>
          <w:rFonts w:ascii="Garamond" w:hAnsi="Garamond"/>
          <w:iCs/>
          <w:sz w:val="24"/>
          <w:szCs w:val="20"/>
        </w:rPr>
        <w:t xml:space="preserve">a </w:t>
      </w:r>
      <w:r w:rsidR="00DC2012">
        <w:rPr>
          <w:rFonts w:ascii="Garamond" w:hAnsi="Garamond"/>
          <w:iCs/>
          <w:sz w:val="24"/>
          <w:szCs w:val="20"/>
        </w:rPr>
        <w:t>PY 20/21</w:t>
      </w:r>
      <w:r w:rsidR="00AB3BBD">
        <w:rPr>
          <w:rFonts w:ascii="Garamond" w:hAnsi="Garamond"/>
          <w:iCs/>
          <w:sz w:val="24"/>
          <w:szCs w:val="20"/>
        </w:rPr>
        <w:t xml:space="preserve"> revisit.</w:t>
      </w:r>
      <w:r w:rsidR="001B07B8">
        <w:rPr>
          <w:rFonts w:ascii="Garamond" w:hAnsi="Garamond"/>
          <w:iCs/>
          <w:sz w:val="24"/>
          <w:szCs w:val="20"/>
        </w:rPr>
        <w:t xml:space="preserve">  </w:t>
      </w:r>
      <w:r w:rsidR="001B07B8">
        <w:rPr>
          <w:rFonts w:ascii="Garamond" w:hAnsi="Garamond" w:cs="Times New Roman"/>
          <w:sz w:val="24"/>
          <w:szCs w:val="20"/>
        </w:rPr>
        <w:t>M</w:t>
      </w:r>
      <w:r w:rsidR="004B6A8D" w:rsidRPr="004B6A8D">
        <w:rPr>
          <w:rFonts w:ascii="Garamond" w:hAnsi="Garamond" w:cs="Times New Roman"/>
          <w:sz w:val="24"/>
          <w:szCs w:val="20"/>
        </w:rPr>
        <w:t xml:space="preserve">id-year and annual reports </w:t>
      </w:r>
      <w:r w:rsidR="001B07B8">
        <w:rPr>
          <w:rFonts w:ascii="Garamond" w:hAnsi="Garamond" w:cs="Times New Roman"/>
          <w:sz w:val="24"/>
          <w:szCs w:val="20"/>
        </w:rPr>
        <w:t xml:space="preserve">were </w:t>
      </w:r>
      <w:r w:rsidR="004B6A8D" w:rsidRPr="004B6A8D">
        <w:rPr>
          <w:rFonts w:ascii="Garamond" w:hAnsi="Garamond" w:cs="Times New Roman"/>
          <w:sz w:val="24"/>
          <w:szCs w:val="20"/>
        </w:rPr>
        <w:t>submitted by the funded eligible programs</w:t>
      </w:r>
      <w:r w:rsidR="00DC2012">
        <w:rPr>
          <w:rFonts w:ascii="Garamond" w:hAnsi="Garamond" w:cs="Times New Roman"/>
          <w:sz w:val="24"/>
          <w:szCs w:val="20"/>
        </w:rPr>
        <w:t xml:space="preserve"> to help keep NMHED-AE abreast of local program status, including key programmatic changes, initiatives, innovations, and challenges.</w:t>
      </w:r>
      <w:r w:rsidR="001B07B8">
        <w:rPr>
          <w:rFonts w:ascii="Garamond" w:hAnsi="Garamond" w:cs="Times New Roman"/>
          <w:sz w:val="24"/>
          <w:szCs w:val="20"/>
        </w:rPr>
        <w:t xml:space="preserve"> </w:t>
      </w:r>
      <w:r w:rsidR="004B6A8D" w:rsidRPr="004B6A8D">
        <w:rPr>
          <w:rFonts w:ascii="Garamond" w:hAnsi="Garamond" w:cs="Times New Roman"/>
          <w:sz w:val="24"/>
          <w:szCs w:val="20"/>
        </w:rPr>
        <w:t xml:space="preserve">  </w:t>
      </w:r>
      <w:r w:rsidR="00D63DB4">
        <w:rPr>
          <w:rFonts w:ascii="Garamond" w:hAnsi="Garamond" w:cs="Times New Roman"/>
          <w:sz w:val="24"/>
          <w:szCs w:val="20"/>
        </w:rPr>
        <w:t>All s</w:t>
      </w:r>
      <w:r w:rsidR="00087FD7">
        <w:rPr>
          <w:rFonts w:ascii="Garamond" w:hAnsi="Garamond" w:cs="Times New Roman"/>
          <w:sz w:val="24"/>
          <w:szCs w:val="20"/>
        </w:rPr>
        <w:t xml:space="preserve">tructured state-sponsored PD initiatives </w:t>
      </w:r>
      <w:r w:rsidR="008A4D18">
        <w:rPr>
          <w:rFonts w:ascii="Garamond" w:hAnsi="Garamond" w:cs="Times New Roman"/>
          <w:sz w:val="24"/>
          <w:szCs w:val="20"/>
        </w:rPr>
        <w:t xml:space="preserve">centrally </w:t>
      </w:r>
      <w:r w:rsidR="00087FD7">
        <w:rPr>
          <w:rFonts w:ascii="Garamond" w:hAnsi="Garamond" w:cs="Times New Roman"/>
          <w:sz w:val="24"/>
          <w:szCs w:val="20"/>
        </w:rPr>
        <w:t>inform</w:t>
      </w:r>
      <w:r w:rsidR="00D63DB4">
        <w:rPr>
          <w:rFonts w:ascii="Garamond" w:hAnsi="Garamond" w:cs="Times New Roman"/>
          <w:sz w:val="24"/>
          <w:szCs w:val="20"/>
        </w:rPr>
        <w:t>ed</w:t>
      </w:r>
      <w:r w:rsidR="00087FD7">
        <w:rPr>
          <w:rFonts w:ascii="Garamond" w:hAnsi="Garamond" w:cs="Times New Roman"/>
          <w:sz w:val="24"/>
          <w:szCs w:val="20"/>
        </w:rPr>
        <w:t xml:space="preserve"> and </w:t>
      </w:r>
      <w:r w:rsidR="00D63DB4">
        <w:rPr>
          <w:rFonts w:ascii="Garamond" w:hAnsi="Garamond" w:cs="Times New Roman"/>
          <w:sz w:val="24"/>
          <w:szCs w:val="20"/>
        </w:rPr>
        <w:t>we</w:t>
      </w:r>
      <w:r w:rsidR="00087FD7">
        <w:rPr>
          <w:rFonts w:ascii="Garamond" w:hAnsi="Garamond" w:cs="Times New Roman"/>
          <w:sz w:val="24"/>
          <w:szCs w:val="20"/>
        </w:rPr>
        <w:t xml:space="preserve">re informed by regular NMHED-AE monitoring and evaluation efforts, and the stronger systematic provision of both are current areas of </w:t>
      </w:r>
      <w:r w:rsidR="008A4D18">
        <w:rPr>
          <w:rFonts w:ascii="Garamond" w:hAnsi="Garamond" w:cs="Times New Roman"/>
          <w:sz w:val="24"/>
          <w:szCs w:val="20"/>
        </w:rPr>
        <w:t xml:space="preserve">high </w:t>
      </w:r>
      <w:r w:rsidR="00087FD7">
        <w:rPr>
          <w:rFonts w:ascii="Garamond" w:hAnsi="Garamond" w:cs="Times New Roman"/>
          <w:sz w:val="24"/>
          <w:szCs w:val="20"/>
        </w:rPr>
        <w:t>priority focus for NMHED-AE</w:t>
      </w:r>
      <w:r w:rsidR="00AB3BBD">
        <w:rPr>
          <w:rFonts w:ascii="Garamond" w:hAnsi="Garamond" w:cs="Times New Roman"/>
          <w:sz w:val="24"/>
          <w:szCs w:val="20"/>
        </w:rPr>
        <w:t xml:space="preserve"> to support continuous program improvement.</w:t>
      </w:r>
    </w:p>
    <w:p w:rsidR="00A854F6" w:rsidRDefault="00A854F6" w:rsidP="00B10BFF">
      <w:pPr>
        <w:pStyle w:val="Default"/>
        <w:rPr>
          <w:b/>
          <w:sz w:val="23"/>
          <w:szCs w:val="23"/>
          <w:u w:val="single"/>
        </w:rPr>
      </w:pPr>
    </w:p>
    <w:p w:rsidR="009D13D8" w:rsidRPr="008C1B16" w:rsidRDefault="00E90157" w:rsidP="00B10BFF">
      <w:pPr>
        <w:pStyle w:val="Default"/>
        <w:rPr>
          <w:b/>
          <w:sz w:val="23"/>
          <w:szCs w:val="23"/>
        </w:rPr>
      </w:pPr>
      <w:r w:rsidRPr="00B6468E">
        <w:rPr>
          <w:b/>
          <w:sz w:val="23"/>
          <w:szCs w:val="23"/>
          <w:u w:val="single"/>
        </w:rPr>
        <w:t>(b) As applicable, describe how the State has used funds for additional permissible activities described in section 223(a)(2).</w:t>
      </w:r>
      <w:r w:rsidRPr="00B10BFF">
        <w:rPr>
          <w:b/>
          <w:sz w:val="23"/>
          <w:szCs w:val="23"/>
        </w:rPr>
        <w:t xml:space="preserve"> </w:t>
      </w:r>
      <w:r w:rsidR="00B10BFF" w:rsidRPr="00B10BFF">
        <w:rPr>
          <w:b/>
          <w:sz w:val="23"/>
          <w:szCs w:val="23"/>
        </w:rPr>
        <w:t xml:space="preserve">  </w:t>
      </w:r>
      <w:r w:rsidR="009D13D8" w:rsidRPr="009F0F0F">
        <w:rPr>
          <w:rFonts w:cs="Times"/>
          <w:i/>
        </w:rPr>
        <w:t>(1)  Developing content and models for integrated education and training and career pathways.</w:t>
      </w:r>
      <w:r w:rsidR="0055702E">
        <w:rPr>
          <w:rFonts w:cs="Times"/>
          <w:i/>
        </w:rPr>
        <w:t xml:space="preserve">  </w:t>
      </w:r>
      <w:r w:rsidR="009D13D8" w:rsidRPr="0055702E">
        <w:rPr>
          <w:rFonts w:cs="Times"/>
          <w:i/>
        </w:rPr>
        <w:t>(2)  The development and implementation of a system to assist in the transition from adult education to postsecondary education, including linkages with postsecondary educational institutions or institutions of higher education.</w:t>
      </w:r>
      <w:r w:rsidR="0055702E">
        <w:rPr>
          <w:rFonts w:cs="Times"/>
          <w:i/>
        </w:rPr>
        <w:t xml:space="preserve">  </w:t>
      </w:r>
      <w:r w:rsidR="009D13D8" w:rsidRPr="0055702E">
        <w:rPr>
          <w:rFonts w:cs="Times"/>
          <w:i/>
        </w:rPr>
        <w:t>(3)  Outreach to instructors, students, and employers</w:t>
      </w:r>
      <w:r w:rsidR="0055702E">
        <w:rPr>
          <w:rFonts w:cs="Times"/>
          <w:i/>
        </w:rPr>
        <w:t>.  (4)  O</w:t>
      </w:r>
      <w:r w:rsidR="009D13D8" w:rsidRPr="0055702E">
        <w:rPr>
          <w:rFonts w:cs="Times"/>
          <w:i/>
        </w:rPr>
        <w:t xml:space="preserve">ther activities of statewide significance that promote the purpose of this title. </w:t>
      </w:r>
    </w:p>
    <w:p w:rsidR="00B10BFF" w:rsidRPr="00B10BFF" w:rsidRDefault="00B10BFF" w:rsidP="00B10BFF">
      <w:pPr>
        <w:pStyle w:val="Default"/>
        <w:rPr>
          <w:b/>
          <w:sz w:val="23"/>
          <w:szCs w:val="23"/>
          <w:u w:val="single"/>
        </w:rPr>
      </w:pPr>
    </w:p>
    <w:p w:rsidR="008F2EBD" w:rsidRPr="00180FAF" w:rsidRDefault="00440945" w:rsidP="008F2EBD">
      <w:pPr>
        <w:widowControl w:val="0"/>
        <w:autoSpaceDE w:val="0"/>
        <w:autoSpaceDN w:val="0"/>
        <w:adjustRightInd w:val="0"/>
        <w:spacing w:after="240" w:line="300" w:lineRule="atLeast"/>
        <w:rPr>
          <w:rFonts w:ascii="Garamond" w:hAnsi="Garamond" w:cs="Times"/>
          <w:sz w:val="24"/>
          <w:szCs w:val="24"/>
        </w:rPr>
      </w:pPr>
      <w:r w:rsidRPr="00180FAF">
        <w:rPr>
          <w:rFonts w:ascii="Garamond" w:hAnsi="Garamond" w:cs="Times"/>
          <w:sz w:val="24"/>
          <w:szCs w:val="24"/>
        </w:rPr>
        <w:t>The</w:t>
      </w:r>
      <w:r w:rsidR="0055702E" w:rsidRPr="00180FAF">
        <w:rPr>
          <w:rFonts w:ascii="Garamond" w:hAnsi="Garamond" w:cs="Times"/>
          <w:sz w:val="24"/>
          <w:szCs w:val="24"/>
        </w:rPr>
        <w:t xml:space="preserve"> permissible activities listed above were highlighted in the State Plan as areas of planned priority focus for NMHED-AE.   Accordingly, two efforts </w:t>
      </w:r>
      <w:r w:rsidRPr="00180FAF">
        <w:rPr>
          <w:rFonts w:ascii="Garamond" w:hAnsi="Garamond" w:cs="Times"/>
          <w:sz w:val="24"/>
          <w:szCs w:val="24"/>
        </w:rPr>
        <w:t>launched in</w:t>
      </w:r>
      <w:r w:rsidR="0055702E" w:rsidRPr="00180FAF">
        <w:rPr>
          <w:rFonts w:ascii="Garamond" w:hAnsi="Garamond" w:cs="Times"/>
          <w:sz w:val="24"/>
          <w:szCs w:val="24"/>
        </w:rPr>
        <w:t xml:space="preserve"> PY 2019/2020 deserve mention here.  The first was an effort to spearhead </w:t>
      </w:r>
      <w:r w:rsidR="00095D38" w:rsidRPr="00180FAF">
        <w:rPr>
          <w:rFonts w:ascii="Garamond" w:hAnsi="Garamond" w:cs="Times"/>
          <w:sz w:val="24"/>
          <w:szCs w:val="24"/>
        </w:rPr>
        <w:t>NMHED</w:t>
      </w:r>
      <w:r w:rsidR="0001656D" w:rsidRPr="00180FAF">
        <w:rPr>
          <w:rFonts w:ascii="Garamond" w:hAnsi="Garamond" w:cs="Times"/>
          <w:sz w:val="24"/>
          <w:szCs w:val="24"/>
        </w:rPr>
        <w:t xml:space="preserve">/HEI </w:t>
      </w:r>
      <w:r w:rsidR="00F33BB0" w:rsidRPr="00180FAF">
        <w:rPr>
          <w:rFonts w:ascii="Garamond" w:hAnsi="Garamond" w:cs="Times"/>
          <w:sz w:val="24"/>
          <w:szCs w:val="24"/>
        </w:rPr>
        <w:t xml:space="preserve">partnership and </w:t>
      </w:r>
      <w:r w:rsidR="0001656D" w:rsidRPr="00180FAF">
        <w:rPr>
          <w:rFonts w:ascii="Garamond" w:hAnsi="Garamond" w:cs="Times"/>
          <w:sz w:val="24"/>
          <w:szCs w:val="24"/>
        </w:rPr>
        <w:t>mobilization</w:t>
      </w:r>
      <w:r w:rsidR="00272A63" w:rsidRPr="00180FAF">
        <w:rPr>
          <w:rFonts w:ascii="Garamond" w:hAnsi="Garamond" w:cs="Times"/>
          <w:sz w:val="24"/>
          <w:szCs w:val="24"/>
        </w:rPr>
        <w:t xml:space="preserve"> around </w:t>
      </w:r>
      <w:r w:rsidR="0055702E" w:rsidRPr="00180FAF">
        <w:rPr>
          <w:rFonts w:ascii="Garamond" w:hAnsi="Garamond" w:cs="Times"/>
          <w:sz w:val="24"/>
          <w:szCs w:val="24"/>
        </w:rPr>
        <w:t xml:space="preserve">effectively utilizing the Ability to Benefit </w:t>
      </w:r>
      <w:r w:rsidR="00C44F54" w:rsidRPr="00180FAF">
        <w:rPr>
          <w:rFonts w:ascii="Garamond" w:hAnsi="Garamond" w:cs="Times"/>
          <w:sz w:val="24"/>
          <w:szCs w:val="24"/>
        </w:rPr>
        <w:t xml:space="preserve">financial aid </w:t>
      </w:r>
      <w:r w:rsidR="004C407E" w:rsidRPr="00180FAF">
        <w:rPr>
          <w:rFonts w:ascii="Garamond" w:hAnsi="Garamond" w:cs="Times"/>
          <w:sz w:val="24"/>
          <w:szCs w:val="24"/>
        </w:rPr>
        <w:t>provision</w:t>
      </w:r>
      <w:r w:rsidR="00C44F54" w:rsidRPr="00180FAF">
        <w:rPr>
          <w:rFonts w:ascii="Garamond" w:hAnsi="Garamond" w:cs="Times"/>
          <w:sz w:val="24"/>
          <w:szCs w:val="24"/>
        </w:rPr>
        <w:t xml:space="preserve"> to support adult education and other student entry into postsecondary education and career pathway tracks</w:t>
      </w:r>
      <w:r w:rsidR="00F33BB0" w:rsidRPr="00180FAF">
        <w:rPr>
          <w:rFonts w:ascii="Garamond" w:hAnsi="Garamond" w:cs="Times"/>
          <w:sz w:val="24"/>
          <w:szCs w:val="24"/>
        </w:rPr>
        <w:t>, including increased support for integrated education and training models.</w:t>
      </w:r>
      <w:r w:rsidR="00C44F54" w:rsidRPr="00180FAF">
        <w:rPr>
          <w:rFonts w:ascii="Garamond" w:hAnsi="Garamond" w:cs="Times"/>
          <w:sz w:val="24"/>
          <w:szCs w:val="24"/>
        </w:rPr>
        <w:t xml:space="preserve">  To begin laying groundwork for these ongoing efforts, last spring NMHED-AE worked with </w:t>
      </w:r>
      <w:r w:rsidR="00672929" w:rsidRPr="00180FAF">
        <w:rPr>
          <w:rFonts w:ascii="Garamond" w:hAnsi="Garamond" w:cs="Times"/>
          <w:sz w:val="24"/>
          <w:szCs w:val="24"/>
        </w:rPr>
        <w:t xml:space="preserve">Cabinet leadership and </w:t>
      </w:r>
      <w:r w:rsidR="00C44F54" w:rsidRPr="00180FAF">
        <w:rPr>
          <w:rFonts w:ascii="Garamond" w:hAnsi="Garamond" w:cs="Times"/>
          <w:sz w:val="24"/>
          <w:szCs w:val="24"/>
        </w:rPr>
        <w:t xml:space="preserve">NMHED’s Financial Aid </w:t>
      </w:r>
      <w:r w:rsidR="00672929" w:rsidRPr="00180FAF">
        <w:rPr>
          <w:rFonts w:ascii="Garamond" w:hAnsi="Garamond" w:cs="Times"/>
          <w:sz w:val="24"/>
          <w:szCs w:val="24"/>
        </w:rPr>
        <w:t>Division to offer training webinars to HEI financial aid</w:t>
      </w:r>
      <w:r w:rsidR="00095D38" w:rsidRPr="00180FAF">
        <w:rPr>
          <w:rFonts w:ascii="Garamond" w:hAnsi="Garamond" w:cs="Times"/>
          <w:sz w:val="24"/>
          <w:szCs w:val="24"/>
        </w:rPr>
        <w:t xml:space="preserve"> </w:t>
      </w:r>
      <w:r w:rsidR="00672929" w:rsidRPr="00180FAF">
        <w:rPr>
          <w:rFonts w:ascii="Garamond" w:hAnsi="Garamond" w:cs="Times"/>
          <w:sz w:val="24"/>
          <w:szCs w:val="24"/>
        </w:rPr>
        <w:t xml:space="preserve">offices and leadership statewide.  In addition, the Outreach Coordinator and Director supported local program efforts in the Northern Region to collaborate with DWS and a new Title I provider to create a general MOA to serve as a springboard for collaborative efforts between this </w:t>
      </w:r>
      <w:r w:rsidR="003A3E05" w:rsidRPr="00180FAF">
        <w:rPr>
          <w:rFonts w:ascii="Garamond" w:hAnsi="Garamond" w:cs="Times"/>
          <w:sz w:val="24"/>
          <w:szCs w:val="24"/>
        </w:rPr>
        <w:t xml:space="preserve">new Title I </w:t>
      </w:r>
      <w:r w:rsidR="00672929" w:rsidRPr="00180FAF">
        <w:rPr>
          <w:rFonts w:ascii="Garamond" w:hAnsi="Garamond" w:cs="Times"/>
          <w:sz w:val="24"/>
          <w:szCs w:val="24"/>
        </w:rPr>
        <w:t xml:space="preserve">provider, local AE program providers, and the larger HEI </w:t>
      </w:r>
      <w:r w:rsidR="00964116" w:rsidRPr="00180FAF">
        <w:rPr>
          <w:rFonts w:ascii="Garamond" w:hAnsi="Garamond" w:cs="Times"/>
          <w:sz w:val="24"/>
          <w:szCs w:val="24"/>
        </w:rPr>
        <w:t xml:space="preserve">system and </w:t>
      </w:r>
      <w:r w:rsidR="00672929" w:rsidRPr="00180FAF">
        <w:rPr>
          <w:rFonts w:ascii="Garamond" w:hAnsi="Garamond" w:cs="Times"/>
          <w:sz w:val="24"/>
          <w:szCs w:val="24"/>
        </w:rPr>
        <w:t>institutions</w:t>
      </w:r>
      <w:r w:rsidR="00387CD9" w:rsidRPr="00180FAF">
        <w:rPr>
          <w:rFonts w:ascii="Garamond" w:hAnsi="Garamond" w:cs="Times"/>
          <w:sz w:val="24"/>
          <w:szCs w:val="24"/>
        </w:rPr>
        <w:t>, and</w:t>
      </w:r>
      <w:r w:rsidR="00672929" w:rsidRPr="00180FAF">
        <w:rPr>
          <w:rFonts w:ascii="Garamond" w:hAnsi="Garamond" w:cs="Times"/>
          <w:sz w:val="24"/>
          <w:szCs w:val="24"/>
        </w:rPr>
        <w:t xml:space="preserve"> to </w:t>
      </w:r>
      <w:r w:rsidR="00387CD9" w:rsidRPr="00180FAF">
        <w:rPr>
          <w:rFonts w:ascii="Garamond" w:hAnsi="Garamond" w:cs="Times"/>
          <w:sz w:val="24"/>
          <w:szCs w:val="24"/>
        </w:rPr>
        <w:t xml:space="preserve">pave the way for the creation of </w:t>
      </w:r>
      <w:r w:rsidR="00672929" w:rsidRPr="00180FAF">
        <w:rPr>
          <w:rFonts w:ascii="Garamond" w:hAnsi="Garamond" w:cs="Times"/>
          <w:sz w:val="24"/>
          <w:szCs w:val="24"/>
        </w:rPr>
        <w:t xml:space="preserve">more specific collaborative MOUs </w:t>
      </w:r>
      <w:r w:rsidR="00387CD9" w:rsidRPr="00180FAF">
        <w:rPr>
          <w:rFonts w:ascii="Garamond" w:hAnsi="Garamond" w:cs="Times"/>
          <w:sz w:val="24"/>
          <w:szCs w:val="24"/>
        </w:rPr>
        <w:t xml:space="preserve">to focus </w:t>
      </w:r>
      <w:r w:rsidR="00672929" w:rsidRPr="00180FAF">
        <w:rPr>
          <w:rFonts w:ascii="Garamond" w:hAnsi="Garamond" w:cs="Times"/>
          <w:sz w:val="24"/>
          <w:szCs w:val="24"/>
        </w:rPr>
        <w:t xml:space="preserve">attention on the creation, expansion, and support of such </w:t>
      </w:r>
      <w:r w:rsidR="003A06AA" w:rsidRPr="00180FAF">
        <w:rPr>
          <w:rFonts w:ascii="Garamond" w:hAnsi="Garamond" w:cs="Times"/>
          <w:sz w:val="24"/>
          <w:szCs w:val="24"/>
        </w:rPr>
        <w:t xml:space="preserve">prospective </w:t>
      </w:r>
      <w:r w:rsidR="00672929" w:rsidRPr="00180FAF">
        <w:rPr>
          <w:rFonts w:ascii="Garamond" w:hAnsi="Garamond" w:cs="Times"/>
          <w:sz w:val="24"/>
          <w:szCs w:val="24"/>
        </w:rPr>
        <w:lastRenderedPageBreak/>
        <w:t>pathways and</w:t>
      </w:r>
      <w:r w:rsidR="003A06AA" w:rsidRPr="00180FAF">
        <w:rPr>
          <w:rFonts w:ascii="Garamond" w:hAnsi="Garamond" w:cs="Times"/>
          <w:sz w:val="24"/>
          <w:szCs w:val="24"/>
        </w:rPr>
        <w:t xml:space="preserve"> </w:t>
      </w:r>
      <w:r w:rsidR="00672929" w:rsidRPr="00180FAF">
        <w:rPr>
          <w:rFonts w:ascii="Garamond" w:hAnsi="Garamond" w:cs="Times"/>
          <w:sz w:val="24"/>
          <w:szCs w:val="24"/>
        </w:rPr>
        <w:t>students</w:t>
      </w:r>
      <w:r w:rsidR="00387CD9" w:rsidRPr="00180FAF">
        <w:rPr>
          <w:rFonts w:ascii="Garamond" w:hAnsi="Garamond" w:cs="Times"/>
          <w:sz w:val="24"/>
          <w:szCs w:val="24"/>
        </w:rPr>
        <w:t>, and to delineate roles of the collaborating partners.</w:t>
      </w:r>
      <w:r w:rsidR="00672929" w:rsidRPr="00180FAF">
        <w:rPr>
          <w:rFonts w:ascii="Garamond" w:hAnsi="Garamond" w:cs="Times"/>
          <w:sz w:val="24"/>
          <w:szCs w:val="24"/>
        </w:rPr>
        <w:t xml:space="preserve">  Significant progress has been made with several of these programs/institutions, and other regions are </w:t>
      </w:r>
      <w:r w:rsidR="00970BC3">
        <w:rPr>
          <w:rFonts w:ascii="Garamond" w:hAnsi="Garamond" w:cs="Times"/>
          <w:sz w:val="24"/>
          <w:szCs w:val="24"/>
        </w:rPr>
        <w:t xml:space="preserve">beginning to utilize </w:t>
      </w:r>
      <w:r w:rsidR="00672929" w:rsidRPr="00180FAF">
        <w:rPr>
          <w:rFonts w:ascii="Garamond" w:hAnsi="Garamond" w:cs="Times"/>
          <w:sz w:val="24"/>
          <w:szCs w:val="24"/>
        </w:rPr>
        <w:t xml:space="preserve">the MOA and process blueprint to make progress in their </w:t>
      </w:r>
      <w:r w:rsidR="003A06AA" w:rsidRPr="00180FAF">
        <w:rPr>
          <w:rFonts w:ascii="Garamond" w:hAnsi="Garamond" w:cs="Times"/>
          <w:sz w:val="24"/>
          <w:szCs w:val="24"/>
        </w:rPr>
        <w:t xml:space="preserve">own </w:t>
      </w:r>
      <w:r w:rsidR="00672929" w:rsidRPr="00180FAF">
        <w:rPr>
          <w:rFonts w:ascii="Garamond" w:hAnsi="Garamond" w:cs="Times"/>
          <w:sz w:val="24"/>
          <w:szCs w:val="24"/>
        </w:rPr>
        <w:t>regions.</w:t>
      </w:r>
      <w:r w:rsidR="003A06AA" w:rsidRPr="00180FAF">
        <w:rPr>
          <w:rFonts w:ascii="Garamond" w:hAnsi="Garamond" w:cs="Times"/>
          <w:sz w:val="24"/>
          <w:szCs w:val="24"/>
        </w:rPr>
        <w:t xml:space="preserve">  </w:t>
      </w:r>
    </w:p>
    <w:p w:rsidR="00B3020F" w:rsidRPr="00180FAF" w:rsidRDefault="003A06AA" w:rsidP="008F2EBD">
      <w:pPr>
        <w:widowControl w:val="0"/>
        <w:autoSpaceDE w:val="0"/>
        <w:autoSpaceDN w:val="0"/>
        <w:adjustRightInd w:val="0"/>
        <w:spacing w:after="240" w:line="300" w:lineRule="atLeast"/>
        <w:rPr>
          <w:rFonts w:ascii="Garamond" w:hAnsi="Garamond" w:cs="Times"/>
          <w:sz w:val="24"/>
          <w:szCs w:val="24"/>
        </w:rPr>
      </w:pPr>
      <w:r w:rsidRPr="00180FAF">
        <w:rPr>
          <w:rFonts w:ascii="Garamond" w:hAnsi="Garamond" w:cs="Times"/>
          <w:sz w:val="24"/>
          <w:szCs w:val="24"/>
        </w:rPr>
        <w:t xml:space="preserve">In another exciting and related development, </w:t>
      </w:r>
      <w:r w:rsidR="00F21306" w:rsidRPr="00180FAF">
        <w:rPr>
          <w:rFonts w:ascii="Garamond" w:hAnsi="Garamond" w:cs="Times"/>
          <w:sz w:val="24"/>
          <w:szCs w:val="24"/>
        </w:rPr>
        <w:t xml:space="preserve">during this reporting period </w:t>
      </w:r>
      <w:r w:rsidRPr="00180FAF">
        <w:rPr>
          <w:rFonts w:ascii="Garamond" w:hAnsi="Garamond" w:cs="Times"/>
          <w:sz w:val="24"/>
          <w:szCs w:val="24"/>
        </w:rPr>
        <w:t xml:space="preserve">the </w:t>
      </w:r>
      <w:r w:rsidR="00F21306" w:rsidRPr="00180FAF">
        <w:rPr>
          <w:rFonts w:ascii="Garamond" w:hAnsi="Garamond" w:cs="Times"/>
          <w:sz w:val="24"/>
          <w:szCs w:val="24"/>
        </w:rPr>
        <w:t xml:space="preserve">NMHED-AE </w:t>
      </w:r>
      <w:r w:rsidRPr="00180FAF">
        <w:rPr>
          <w:rFonts w:ascii="Garamond" w:hAnsi="Garamond" w:cs="Times"/>
          <w:sz w:val="24"/>
          <w:szCs w:val="24"/>
        </w:rPr>
        <w:t xml:space="preserve">Outreach Coordinator forged a formal partnership with national nonprofit Jobs for the Future (JFF) </w:t>
      </w:r>
      <w:r w:rsidR="00F21306" w:rsidRPr="00180FAF">
        <w:rPr>
          <w:rFonts w:ascii="Garamond" w:hAnsi="Garamond" w:cs="Times"/>
          <w:sz w:val="24"/>
          <w:szCs w:val="24"/>
        </w:rPr>
        <w:t>after</w:t>
      </w:r>
      <w:r w:rsidRPr="00180FAF">
        <w:rPr>
          <w:rFonts w:ascii="Garamond" w:hAnsi="Garamond" w:cs="Times"/>
          <w:sz w:val="24"/>
          <w:szCs w:val="24"/>
        </w:rPr>
        <w:t xml:space="preserve"> explor</w:t>
      </w:r>
      <w:r w:rsidR="00F21306" w:rsidRPr="00180FAF">
        <w:rPr>
          <w:rFonts w:ascii="Garamond" w:hAnsi="Garamond" w:cs="Times"/>
          <w:sz w:val="24"/>
          <w:szCs w:val="24"/>
        </w:rPr>
        <w:t>ing</w:t>
      </w:r>
      <w:r w:rsidRPr="00180FAF">
        <w:rPr>
          <w:rFonts w:ascii="Garamond" w:hAnsi="Garamond" w:cs="Times"/>
          <w:sz w:val="24"/>
          <w:szCs w:val="24"/>
        </w:rPr>
        <w:t xml:space="preserve"> </w:t>
      </w:r>
      <w:r w:rsidR="00821C41" w:rsidRPr="00180FAF">
        <w:rPr>
          <w:rFonts w:ascii="Garamond" w:hAnsi="Garamond" w:cs="Times"/>
          <w:sz w:val="24"/>
          <w:szCs w:val="24"/>
        </w:rPr>
        <w:t>a</w:t>
      </w:r>
      <w:r w:rsidR="00C847B7" w:rsidRPr="00180FAF">
        <w:rPr>
          <w:rFonts w:ascii="Garamond" w:hAnsi="Garamond" w:cs="Times"/>
          <w:sz w:val="24"/>
          <w:szCs w:val="24"/>
        </w:rPr>
        <w:t xml:space="preserve"> potentially</w:t>
      </w:r>
      <w:r w:rsidR="00821C41" w:rsidRPr="00180FAF">
        <w:rPr>
          <w:rFonts w:ascii="Garamond" w:hAnsi="Garamond" w:cs="Times"/>
          <w:sz w:val="24"/>
          <w:szCs w:val="24"/>
        </w:rPr>
        <w:t xml:space="preserve"> innovative approach to the organization’s ongoing Pathways to Prosperity work, </w:t>
      </w:r>
      <w:r w:rsidR="00F21306" w:rsidRPr="00180FAF">
        <w:rPr>
          <w:rFonts w:ascii="Garamond" w:hAnsi="Garamond" w:cs="Times"/>
          <w:sz w:val="24"/>
          <w:szCs w:val="24"/>
        </w:rPr>
        <w:t>namely the</w:t>
      </w:r>
      <w:r w:rsidR="007C4418" w:rsidRPr="00180FAF">
        <w:rPr>
          <w:rFonts w:ascii="Garamond" w:hAnsi="Garamond" w:cs="Times"/>
          <w:sz w:val="24"/>
          <w:szCs w:val="24"/>
        </w:rPr>
        <w:t xml:space="preserve"> idea of</w:t>
      </w:r>
      <w:r w:rsidR="00821C41" w:rsidRPr="00180FAF">
        <w:rPr>
          <w:rFonts w:ascii="Garamond" w:hAnsi="Garamond" w:cs="Times"/>
          <w:sz w:val="24"/>
          <w:szCs w:val="24"/>
        </w:rPr>
        <w:t xml:space="preserve"> engag</w:t>
      </w:r>
      <w:r w:rsidR="007C4418" w:rsidRPr="00180FAF">
        <w:rPr>
          <w:rFonts w:ascii="Garamond" w:hAnsi="Garamond" w:cs="Times"/>
          <w:sz w:val="24"/>
          <w:szCs w:val="24"/>
        </w:rPr>
        <w:t>ing</w:t>
      </w:r>
      <w:r w:rsidR="00821C41" w:rsidRPr="00180FAF">
        <w:rPr>
          <w:rFonts w:ascii="Garamond" w:hAnsi="Garamond" w:cs="Times"/>
          <w:sz w:val="24"/>
          <w:szCs w:val="24"/>
        </w:rPr>
        <w:t xml:space="preserve"> key </w:t>
      </w:r>
      <w:r w:rsidR="00970D51" w:rsidRPr="00180FAF">
        <w:rPr>
          <w:rFonts w:ascii="Garamond" w:hAnsi="Garamond" w:cs="Times"/>
          <w:sz w:val="24"/>
          <w:szCs w:val="24"/>
        </w:rPr>
        <w:t xml:space="preserve">New Mexico </w:t>
      </w:r>
      <w:r w:rsidR="00821C41" w:rsidRPr="00180FAF">
        <w:rPr>
          <w:rFonts w:ascii="Garamond" w:hAnsi="Garamond" w:cs="Times"/>
          <w:sz w:val="24"/>
          <w:szCs w:val="24"/>
        </w:rPr>
        <w:t xml:space="preserve">agency stakeholders in a joint Pathways membership and initial asset mapping process </w:t>
      </w:r>
      <w:r w:rsidR="008F2EBD" w:rsidRPr="00180FAF">
        <w:rPr>
          <w:rFonts w:ascii="Garamond" w:hAnsi="Garamond" w:cs="Times"/>
          <w:sz w:val="24"/>
          <w:szCs w:val="24"/>
        </w:rPr>
        <w:t>regarding</w:t>
      </w:r>
      <w:r w:rsidR="00821C41" w:rsidRPr="00180FAF">
        <w:rPr>
          <w:rFonts w:ascii="Garamond" w:hAnsi="Garamond" w:cs="Times"/>
          <w:sz w:val="24"/>
          <w:szCs w:val="24"/>
        </w:rPr>
        <w:t xml:space="preserve"> the current career pathway access and infrastructure landscape in New Mexico</w:t>
      </w:r>
      <w:r w:rsidR="008774D5" w:rsidRPr="00180FAF">
        <w:rPr>
          <w:rFonts w:ascii="Garamond" w:hAnsi="Garamond" w:cs="Times"/>
          <w:sz w:val="24"/>
          <w:szCs w:val="24"/>
        </w:rPr>
        <w:t xml:space="preserve"> --</w:t>
      </w:r>
      <w:r w:rsidR="007C4418" w:rsidRPr="00180FAF">
        <w:rPr>
          <w:rFonts w:ascii="Garamond" w:hAnsi="Garamond" w:cs="Times"/>
          <w:sz w:val="24"/>
          <w:szCs w:val="24"/>
        </w:rPr>
        <w:t xml:space="preserve"> </w:t>
      </w:r>
      <w:r w:rsidR="007C4418" w:rsidRPr="00180FAF">
        <w:rPr>
          <w:rFonts w:ascii="Garamond" w:hAnsi="Garamond" w:cs="Times"/>
          <w:i/>
          <w:sz w:val="24"/>
          <w:szCs w:val="24"/>
        </w:rPr>
        <w:t>with a targeted focus on Adult Education and Corrections Education</w:t>
      </w:r>
      <w:r w:rsidR="008774D5" w:rsidRPr="00180FAF">
        <w:rPr>
          <w:rFonts w:ascii="Garamond" w:hAnsi="Garamond" w:cs="Times"/>
          <w:i/>
          <w:sz w:val="24"/>
          <w:szCs w:val="24"/>
        </w:rPr>
        <w:t xml:space="preserve"> out of the gate</w:t>
      </w:r>
      <w:r w:rsidR="007C4418" w:rsidRPr="00180FAF">
        <w:rPr>
          <w:rFonts w:ascii="Garamond" w:hAnsi="Garamond" w:cs="Times"/>
          <w:i/>
          <w:sz w:val="24"/>
          <w:szCs w:val="24"/>
        </w:rPr>
        <w:t>.</w:t>
      </w:r>
      <w:r w:rsidR="00821C41" w:rsidRPr="00180FAF">
        <w:rPr>
          <w:rFonts w:ascii="Garamond" w:hAnsi="Garamond" w:cs="Times"/>
          <w:sz w:val="24"/>
          <w:szCs w:val="24"/>
        </w:rPr>
        <w:t xml:space="preserve">  Support for </w:t>
      </w:r>
      <w:r w:rsidR="00970D51" w:rsidRPr="00180FAF">
        <w:rPr>
          <w:rFonts w:ascii="Garamond" w:hAnsi="Garamond" w:cs="Times"/>
          <w:sz w:val="24"/>
          <w:szCs w:val="24"/>
        </w:rPr>
        <w:t>this</w:t>
      </w:r>
      <w:r w:rsidR="00821C41" w:rsidRPr="00180FAF">
        <w:rPr>
          <w:rFonts w:ascii="Garamond" w:hAnsi="Garamond" w:cs="Times"/>
          <w:sz w:val="24"/>
          <w:szCs w:val="24"/>
        </w:rPr>
        <w:t xml:space="preserve"> project</w:t>
      </w:r>
      <w:r w:rsidR="00970D51" w:rsidRPr="00180FAF">
        <w:rPr>
          <w:rFonts w:ascii="Garamond" w:hAnsi="Garamond" w:cs="Times"/>
          <w:sz w:val="24"/>
          <w:szCs w:val="24"/>
        </w:rPr>
        <w:t xml:space="preserve"> vision</w:t>
      </w:r>
      <w:r w:rsidR="00821C41" w:rsidRPr="00180FAF">
        <w:rPr>
          <w:rFonts w:ascii="Garamond" w:hAnsi="Garamond" w:cs="Times"/>
          <w:sz w:val="24"/>
          <w:szCs w:val="24"/>
        </w:rPr>
        <w:t xml:space="preserve"> from </w:t>
      </w:r>
      <w:r w:rsidR="00C45DA3" w:rsidRPr="00180FAF">
        <w:rPr>
          <w:rFonts w:ascii="Garamond" w:hAnsi="Garamond" w:cs="Times"/>
          <w:sz w:val="24"/>
          <w:szCs w:val="24"/>
        </w:rPr>
        <w:t>tapped</w:t>
      </w:r>
      <w:r w:rsidR="00821C41" w:rsidRPr="00180FAF">
        <w:rPr>
          <w:rFonts w:ascii="Garamond" w:hAnsi="Garamond" w:cs="Times"/>
          <w:sz w:val="24"/>
          <w:szCs w:val="24"/>
        </w:rPr>
        <w:t xml:space="preserve"> state agency leadership (NMHED, NMPED, DWS, EDD, and NMCD) </w:t>
      </w:r>
      <w:r w:rsidR="008774D5" w:rsidRPr="00180FAF">
        <w:rPr>
          <w:rFonts w:ascii="Garamond" w:hAnsi="Garamond" w:cs="Times"/>
          <w:sz w:val="24"/>
          <w:szCs w:val="24"/>
        </w:rPr>
        <w:t xml:space="preserve">and the governor’s office </w:t>
      </w:r>
      <w:r w:rsidR="00821C41" w:rsidRPr="00180FAF">
        <w:rPr>
          <w:rFonts w:ascii="Garamond" w:hAnsi="Garamond" w:cs="Times"/>
          <w:sz w:val="24"/>
          <w:szCs w:val="24"/>
        </w:rPr>
        <w:t xml:space="preserve">was garnered quickly…so </w:t>
      </w:r>
      <w:r w:rsidR="00524F25" w:rsidRPr="00180FAF">
        <w:rPr>
          <w:rFonts w:ascii="Garamond" w:hAnsi="Garamond" w:cs="Times"/>
          <w:sz w:val="24"/>
          <w:szCs w:val="24"/>
        </w:rPr>
        <w:t xml:space="preserve">just as </w:t>
      </w:r>
      <w:r w:rsidR="00821C41" w:rsidRPr="00180FAF">
        <w:rPr>
          <w:rFonts w:ascii="Garamond" w:hAnsi="Garamond" w:cs="Times"/>
          <w:sz w:val="24"/>
          <w:szCs w:val="24"/>
        </w:rPr>
        <w:t xml:space="preserve">quickly that the Outreach Coordinator </w:t>
      </w:r>
      <w:r w:rsidR="0069621A" w:rsidRPr="00180FAF">
        <w:rPr>
          <w:rFonts w:ascii="Garamond" w:hAnsi="Garamond" w:cs="Times"/>
          <w:sz w:val="24"/>
          <w:szCs w:val="24"/>
        </w:rPr>
        <w:t xml:space="preserve">made a quick </w:t>
      </w:r>
      <w:r w:rsidR="00524F25" w:rsidRPr="00180FAF">
        <w:rPr>
          <w:rFonts w:ascii="Garamond" w:hAnsi="Garamond" w:cs="Times"/>
          <w:sz w:val="24"/>
          <w:szCs w:val="24"/>
        </w:rPr>
        <w:t xml:space="preserve">planned </w:t>
      </w:r>
      <w:r w:rsidR="0069621A" w:rsidRPr="00180FAF">
        <w:rPr>
          <w:rFonts w:ascii="Garamond" w:hAnsi="Garamond" w:cs="Times"/>
          <w:sz w:val="24"/>
          <w:szCs w:val="24"/>
        </w:rPr>
        <w:t xml:space="preserve">course change.  </w:t>
      </w:r>
      <w:r w:rsidR="00821C41" w:rsidRPr="00180FAF">
        <w:rPr>
          <w:rFonts w:ascii="Garamond" w:hAnsi="Garamond" w:cs="Times"/>
          <w:sz w:val="24"/>
          <w:szCs w:val="24"/>
        </w:rPr>
        <w:t>After formally drafting a</w:t>
      </w:r>
      <w:r w:rsidR="008774D5" w:rsidRPr="00180FAF">
        <w:rPr>
          <w:rFonts w:ascii="Garamond" w:hAnsi="Garamond" w:cs="Times"/>
          <w:sz w:val="24"/>
          <w:szCs w:val="24"/>
        </w:rPr>
        <w:t>n official</w:t>
      </w:r>
      <w:r w:rsidR="00821C41" w:rsidRPr="00180FAF">
        <w:rPr>
          <w:rFonts w:ascii="Garamond" w:hAnsi="Garamond" w:cs="Times"/>
          <w:sz w:val="24"/>
          <w:szCs w:val="24"/>
        </w:rPr>
        <w:t xml:space="preserve"> project proposal with JFF and receiving the green light from </w:t>
      </w:r>
      <w:r w:rsidR="00524F25" w:rsidRPr="00180FAF">
        <w:rPr>
          <w:rFonts w:ascii="Garamond" w:hAnsi="Garamond" w:cs="Times"/>
          <w:sz w:val="24"/>
          <w:szCs w:val="24"/>
        </w:rPr>
        <w:t xml:space="preserve">NMHED </w:t>
      </w:r>
      <w:r w:rsidR="00821C41" w:rsidRPr="00180FAF">
        <w:rPr>
          <w:rFonts w:ascii="Garamond" w:hAnsi="Garamond" w:cs="Times"/>
          <w:sz w:val="24"/>
          <w:szCs w:val="24"/>
        </w:rPr>
        <w:t xml:space="preserve">Cabinet leadership to support the work, </w:t>
      </w:r>
      <w:r w:rsidR="00F169BD" w:rsidRPr="00180FAF">
        <w:rPr>
          <w:rFonts w:ascii="Garamond" w:hAnsi="Garamond" w:cs="Times"/>
          <w:sz w:val="24"/>
          <w:szCs w:val="24"/>
        </w:rPr>
        <w:t xml:space="preserve">in February </w:t>
      </w:r>
      <w:r w:rsidR="003E76D1" w:rsidRPr="00180FAF">
        <w:rPr>
          <w:rFonts w:ascii="Garamond" w:hAnsi="Garamond" w:cs="Times"/>
          <w:sz w:val="24"/>
          <w:szCs w:val="24"/>
        </w:rPr>
        <w:t xml:space="preserve">2020 </w:t>
      </w:r>
      <w:r w:rsidR="00821C41" w:rsidRPr="00180FAF">
        <w:rPr>
          <w:rFonts w:ascii="Garamond" w:hAnsi="Garamond" w:cs="Times"/>
          <w:sz w:val="24"/>
          <w:szCs w:val="24"/>
        </w:rPr>
        <w:t>NMHED-AE used state</w:t>
      </w:r>
      <w:r w:rsidR="003E76D1" w:rsidRPr="00180FAF">
        <w:rPr>
          <w:rFonts w:ascii="Garamond" w:hAnsi="Garamond" w:cs="Times"/>
          <w:sz w:val="24"/>
          <w:szCs w:val="24"/>
        </w:rPr>
        <w:t>-appropriated</w:t>
      </w:r>
      <w:r w:rsidR="00821C41" w:rsidRPr="00180FAF">
        <w:rPr>
          <w:rFonts w:ascii="Garamond" w:hAnsi="Garamond" w:cs="Times"/>
          <w:sz w:val="24"/>
          <w:szCs w:val="24"/>
        </w:rPr>
        <w:t xml:space="preserve"> </w:t>
      </w:r>
      <w:r w:rsidR="00970D51" w:rsidRPr="00180FAF">
        <w:rPr>
          <w:rFonts w:ascii="Garamond" w:hAnsi="Garamond" w:cs="Times"/>
          <w:sz w:val="24"/>
          <w:szCs w:val="24"/>
        </w:rPr>
        <w:t xml:space="preserve">AE </w:t>
      </w:r>
      <w:r w:rsidR="00821C41" w:rsidRPr="00180FAF">
        <w:rPr>
          <w:rFonts w:ascii="Garamond" w:hAnsi="Garamond" w:cs="Times"/>
          <w:sz w:val="24"/>
          <w:szCs w:val="24"/>
        </w:rPr>
        <w:t xml:space="preserve">funds to give JFF a large grant to </w:t>
      </w:r>
      <w:r w:rsidR="00F169BD" w:rsidRPr="00180FAF">
        <w:rPr>
          <w:rFonts w:ascii="Garamond" w:hAnsi="Garamond" w:cs="Times"/>
          <w:sz w:val="24"/>
          <w:szCs w:val="24"/>
        </w:rPr>
        <w:t xml:space="preserve">quickly build on </w:t>
      </w:r>
      <w:r w:rsidR="00970D51" w:rsidRPr="00180FAF">
        <w:rPr>
          <w:rFonts w:ascii="Garamond" w:hAnsi="Garamond" w:cs="Times"/>
          <w:sz w:val="24"/>
          <w:szCs w:val="24"/>
        </w:rPr>
        <w:t xml:space="preserve">mounting </w:t>
      </w:r>
      <w:r w:rsidR="00F169BD" w:rsidRPr="00180FAF">
        <w:rPr>
          <w:rFonts w:ascii="Garamond" w:hAnsi="Garamond" w:cs="Times"/>
          <w:sz w:val="24"/>
          <w:szCs w:val="24"/>
        </w:rPr>
        <w:t xml:space="preserve">support and to </w:t>
      </w:r>
      <w:r w:rsidR="00821C41" w:rsidRPr="00180FAF">
        <w:rPr>
          <w:rFonts w:ascii="Garamond" w:hAnsi="Garamond" w:cs="Times"/>
          <w:sz w:val="24"/>
          <w:szCs w:val="24"/>
        </w:rPr>
        <w:t>begin the asset mapping phase of th</w:t>
      </w:r>
      <w:r w:rsidR="00F21306" w:rsidRPr="00180FAF">
        <w:rPr>
          <w:rFonts w:ascii="Garamond" w:hAnsi="Garamond" w:cs="Times"/>
          <w:sz w:val="24"/>
          <w:szCs w:val="24"/>
        </w:rPr>
        <w:t>is</w:t>
      </w:r>
      <w:r w:rsidR="00821C41" w:rsidRPr="00180FAF">
        <w:rPr>
          <w:rFonts w:ascii="Garamond" w:hAnsi="Garamond" w:cs="Times"/>
          <w:sz w:val="24"/>
          <w:szCs w:val="24"/>
        </w:rPr>
        <w:t xml:space="preserve"> </w:t>
      </w:r>
      <w:r w:rsidR="004C44E0" w:rsidRPr="00180FAF">
        <w:rPr>
          <w:rFonts w:ascii="Garamond" w:hAnsi="Garamond" w:cs="Times"/>
          <w:sz w:val="24"/>
          <w:szCs w:val="24"/>
        </w:rPr>
        <w:t xml:space="preserve">planned </w:t>
      </w:r>
      <w:r w:rsidR="00821C41" w:rsidRPr="00180FAF">
        <w:rPr>
          <w:rFonts w:ascii="Garamond" w:hAnsi="Garamond" w:cs="Times"/>
          <w:sz w:val="24"/>
          <w:szCs w:val="24"/>
        </w:rPr>
        <w:t xml:space="preserve">longitudinal project.  In partnership with </w:t>
      </w:r>
      <w:r w:rsidR="0069621A" w:rsidRPr="00180FAF">
        <w:rPr>
          <w:rFonts w:ascii="Garamond" w:hAnsi="Garamond" w:cs="Times"/>
          <w:sz w:val="24"/>
          <w:szCs w:val="24"/>
        </w:rPr>
        <w:t xml:space="preserve">NMHED-AE and </w:t>
      </w:r>
      <w:r w:rsidR="008774D5" w:rsidRPr="00180FAF">
        <w:rPr>
          <w:rFonts w:ascii="Garamond" w:hAnsi="Garamond" w:cs="Times"/>
          <w:sz w:val="24"/>
          <w:szCs w:val="24"/>
        </w:rPr>
        <w:t xml:space="preserve">with </w:t>
      </w:r>
      <w:r w:rsidR="0069621A" w:rsidRPr="00180FAF">
        <w:rPr>
          <w:rFonts w:ascii="Garamond" w:hAnsi="Garamond" w:cs="Times"/>
          <w:sz w:val="24"/>
          <w:szCs w:val="24"/>
        </w:rPr>
        <w:t>the</w:t>
      </w:r>
      <w:r w:rsidR="00821C41" w:rsidRPr="00180FAF">
        <w:rPr>
          <w:rFonts w:ascii="Garamond" w:hAnsi="Garamond" w:cs="Times"/>
          <w:sz w:val="24"/>
          <w:szCs w:val="24"/>
        </w:rPr>
        <w:t xml:space="preserve"> Outreach Coordinator</w:t>
      </w:r>
      <w:r w:rsidR="0069621A" w:rsidRPr="00180FAF">
        <w:rPr>
          <w:rFonts w:ascii="Garamond" w:hAnsi="Garamond" w:cs="Times"/>
          <w:sz w:val="24"/>
          <w:szCs w:val="24"/>
        </w:rPr>
        <w:t xml:space="preserve"> serving as project lead</w:t>
      </w:r>
      <w:r w:rsidR="00821C41" w:rsidRPr="00180FAF">
        <w:rPr>
          <w:rFonts w:ascii="Garamond" w:hAnsi="Garamond" w:cs="Times"/>
          <w:sz w:val="24"/>
          <w:szCs w:val="24"/>
        </w:rPr>
        <w:t xml:space="preserve">, JFF engaged in extensive interviews with a broad range of </w:t>
      </w:r>
      <w:r w:rsidR="00524F25" w:rsidRPr="00180FAF">
        <w:rPr>
          <w:rFonts w:ascii="Garamond" w:hAnsi="Garamond" w:cs="Times"/>
          <w:sz w:val="24"/>
          <w:szCs w:val="24"/>
        </w:rPr>
        <w:t xml:space="preserve">statewide </w:t>
      </w:r>
      <w:r w:rsidR="003E76D1" w:rsidRPr="00180FAF">
        <w:rPr>
          <w:rFonts w:ascii="Garamond" w:hAnsi="Garamond" w:cs="Times"/>
          <w:sz w:val="24"/>
          <w:szCs w:val="24"/>
        </w:rPr>
        <w:t xml:space="preserve">workforce system </w:t>
      </w:r>
      <w:r w:rsidR="00821C41" w:rsidRPr="00180FAF">
        <w:rPr>
          <w:rFonts w:ascii="Garamond" w:hAnsi="Garamond" w:cs="Times"/>
          <w:sz w:val="24"/>
          <w:szCs w:val="24"/>
        </w:rPr>
        <w:t>stakeholders</w:t>
      </w:r>
      <w:r w:rsidR="00524F25" w:rsidRPr="00180FAF">
        <w:rPr>
          <w:rFonts w:ascii="Garamond" w:hAnsi="Garamond" w:cs="Times"/>
          <w:sz w:val="24"/>
          <w:szCs w:val="24"/>
        </w:rPr>
        <w:t>,</w:t>
      </w:r>
      <w:r w:rsidR="0069621A" w:rsidRPr="00180FAF">
        <w:rPr>
          <w:rFonts w:ascii="Garamond" w:hAnsi="Garamond" w:cs="Times"/>
          <w:sz w:val="24"/>
          <w:szCs w:val="24"/>
        </w:rPr>
        <w:t xml:space="preserve"> while </w:t>
      </w:r>
      <w:r w:rsidR="00524F25" w:rsidRPr="00180FAF">
        <w:rPr>
          <w:rFonts w:ascii="Garamond" w:hAnsi="Garamond" w:cs="Times"/>
          <w:sz w:val="24"/>
          <w:szCs w:val="24"/>
        </w:rPr>
        <w:t xml:space="preserve">simultaneously </w:t>
      </w:r>
      <w:r w:rsidR="0069621A" w:rsidRPr="00180FAF">
        <w:rPr>
          <w:rFonts w:ascii="Garamond" w:hAnsi="Garamond" w:cs="Times"/>
          <w:sz w:val="24"/>
          <w:szCs w:val="24"/>
        </w:rPr>
        <w:t xml:space="preserve">conducting </w:t>
      </w:r>
      <w:r w:rsidR="00821C41" w:rsidRPr="00180FAF">
        <w:rPr>
          <w:rFonts w:ascii="Garamond" w:hAnsi="Garamond" w:cs="Times"/>
          <w:sz w:val="24"/>
          <w:szCs w:val="24"/>
        </w:rPr>
        <w:t xml:space="preserve">extensive state-specific desk research.  </w:t>
      </w:r>
      <w:r w:rsidR="00524F25" w:rsidRPr="00180FAF">
        <w:rPr>
          <w:rFonts w:ascii="Garamond" w:hAnsi="Garamond" w:cs="Times"/>
          <w:sz w:val="24"/>
          <w:szCs w:val="24"/>
        </w:rPr>
        <w:t xml:space="preserve">In concert with these efforts, </w:t>
      </w:r>
      <w:r w:rsidR="005C07DE" w:rsidRPr="00180FAF">
        <w:rPr>
          <w:rFonts w:ascii="Garamond" w:hAnsi="Garamond" w:cs="Times"/>
          <w:sz w:val="24"/>
          <w:szCs w:val="24"/>
        </w:rPr>
        <w:t xml:space="preserve">JFF used </w:t>
      </w:r>
      <w:r w:rsidR="00821C41" w:rsidRPr="00180FAF">
        <w:rPr>
          <w:rFonts w:ascii="Garamond" w:hAnsi="Garamond" w:cs="Times"/>
          <w:sz w:val="24"/>
          <w:szCs w:val="24"/>
        </w:rPr>
        <w:t>its many years of experience and work with other states in the career pathway development space</w:t>
      </w:r>
      <w:r w:rsidR="005C07DE" w:rsidRPr="00180FAF">
        <w:rPr>
          <w:rFonts w:ascii="Garamond" w:hAnsi="Garamond" w:cs="Times"/>
          <w:sz w:val="24"/>
          <w:szCs w:val="24"/>
        </w:rPr>
        <w:t xml:space="preserve"> to ultimately produce a set of final deliverables for New Mexico, including a strategic roadmap and targeted set of recommendations for </w:t>
      </w:r>
      <w:r w:rsidR="004C44E0" w:rsidRPr="00180FAF">
        <w:rPr>
          <w:rFonts w:ascii="Garamond" w:hAnsi="Garamond" w:cs="Times"/>
          <w:sz w:val="24"/>
          <w:szCs w:val="24"/>
        </w:rPr>
        <w:t>the State</w:t>
      </w:r>
      <w:r w:rsidR="005C07DE" w:rsidRPr="00180FAF">
        <w:rPr>
          <w:rFonts w:ascii="Garamond" w:hAnsi="Garamond" w:cs="Times"/>
          <w:sz w:val="24"/>
          <w:szCs w:val="24"/>
        </w:rPr>
        <w:t xml:space="preserve"> to use to plan next steps</w:t>
      </w:r>
      <w:r w:rsidR="0069621A" w:rsidRPr="00180FAF">
        <w:rPr>
          <w:rFonts w:ascii="Garamond" w:hAnsi="Garamond" w:cs="Times"/>
          <w:sz w:val="24"/>
          <w:szCs w:val="24"/>
        </w:rPr>
        <w:t xml:space="preserve"> in PY 2020/2021.</w:t>
      </w:r>
      <w:r w:rsidR="00FE0FD7" w:rsidRPr="00180FAF">
        <w:rPr>
          <w:rFonts w:ascii="Garamond" w:hAnsi="Garamond" w:cs="Times"/>
          <w:sz w:val="24"/>
          <w:szCs w:val="24"/>
        </w:rPr>
        <w:t xml:space="preserve">  </w:t>
      </w:r>
    </w:p>
    <w:p w:rsidR="00240833" w:rsidRPr="00164DDD" w:rsidRDefault="00240833" w:rsidP="00240833">
      <w:pPr>
        <w:spacing w:after="120"/>
        <w:rPr>
          <w:rFonts w:ascii="Garamond" w:hAnsi="Garamond" w:cs="Times New Roman"/>
          <w:b/>
          <w:sz w:val="24"/>
          <w:szCs w:val="20"/>
          <w:u w:val="single"/>
        </w:rPr>
      </w:pPr>
      <w:r w:rsidRPr="00164DDD">
        <w:rPr>
          <w:rFonts w:ascii="Garamond" w:hAnsi="Garamond" w:cs="Times New Roman"/>
          <w:b/>
          <w:sz w:val="24"/>
          <w:szCs w:val="20"/>
          <w:u w:val="single"/>
        </w:rPr>
        <w:t>2. Performance Data Analysis</w:t>
      </w:r>
    </w:p>
    <w:p w:rsidR="002A1283" w:rsidRPr="00B3020F" w:rsidRDefault="00240833" w:rsidP="00240833">
      <w:pPr>
        <w:spacing w:after="120"/>
        <w:rPr>
          <w:rFonts w:ascii="Garamond" w:hAnsi="Garamond" w:cs="Times New Roman"/>
          <w:b/>
          <w:sz w:val="24"/>
          <w:szCs w:val="20"/>
        </w:rPr>
      </w:pPr>
      <w:r w:rsidRPr="00B3020F">
        <w:rPr>
          <w:rFonts w:ascii="Garamond" w:hAnsi="Garamond" w:cs="Times New Roman"/>
          <w:b/>
          <w:sz w:val="24"/>
          <w:szCs w:val="20"/>
        </w:rPr>
        <w:t xml:space="preserve">Describe how the adult education program performed in the overall assessment of core programs based on the core indicators of performance. </w:t>
      </w:r>
    </w:p>
    <w:p w:rsidR="002A1283" w:rsidRPr="002A1283" w:rsidRDefault="00150592" w:rsidP="00240833">
      <w:pPr>
        <w:spacing w:after="120"/>
        <w:rPr>
          <w:rFonts w:ascii="Garamond" w:hAnsi="Garamond" w:cs="Times New Roman"/>
          <w:sz w:val="24"/>
          <w:szCs w:val="20"/>
        </w:rPr>
      </w:pPr>
      <w:r>
        <w:rPr>
          <w:rFonts w:ascii="Garamond" w:hAnsi="Garamond" w:cs="Times New Roman"/>
          <w:sz w:val="24"/>
          <w:szCs w:val="20"/>
        </w:rPr>
        <w:t>Enrollment</w:t>
      </w:r>
      <w:r w:rsidR="001D4B49">
        <w:rPr>
          <w:rFonts w:ascii="Garamond" w:hAnsi="Garamond" w:cs="Times New Roman"/>
          <w:sz w:val="24"/>
          <w:szCs w:val="20"/>
        </w:rPr>
        <w:t xml:space="preserve"> </w:t>
      </w:r>
      <w:r w:rsidR="00035C67">
        <w:rPr>
          <w:rFonts w:ascii="Garamond" w:hAnsi="Garamond" w:cs="Times New Roman"/>
          <w:sz w:val="24"/>
          <w:szCs w:val="20"/>
        </w:rPr>
        <w:t>deserves some focus in our overall assessment of core program</w:t>
      </w:r>
      <w:r w:rsidR="003E76D1">
        <w:rPr>
          <w:rFonts w:ascii="Garamond" w:hAnsi="Garamond" w:cs="Times New Roman"/>
          <w:sz w:val="24"/>
          <w:szCs w:val="20"/>
        </w:rPr>
        <w:t>s</w:t>
      </w:r>
      <w:r w:rsidR="00AF299A">
        <w:rPr>
          <w:rFonts w:ascii="Garamond" w:hAnsi="Garamond" w:cs="Times New Roman"/>
          <w:sz w:val="24"/>
          <w:szCs w:val="20"/>
        </w:rPr>
        <w:t xml:space="preserve">.  </w:t>
      </w:r>
      <w:r>
        <w:rPr>
          <w:rFonts w:ascii="Garamond" w:hAnsi="Garamond" w:cs="Times New Roman"/>
          <w:sz w:val="24"/>
          <w:szCs w:val="20"/>
        </w:rPr>
        <w:t xml:space="preserve">New Mexico’s </w:t>
      </w:r>
      <w:r w:rsidR="005E14ED">
        <w:rPr>
          <w:rFonts w:ascii="Garamond" w:hAnsi="Garamond" w:cs="Times New Roman"/>
          <w:sz w:val="24"/>
          <w:szCs w:val="20"/>
        </w:rPr>
        <w:t xml:space="preserve">aggregate </w:t>
      </w:r>
      <w:r>
        <w:rPr>
          <w:rFonts w:ascii="Garamond" w:hAnsi="Garamond" w:cs="Times New Roman"/>
          <w:sz w:val="24"/>
          <w:szCs w:val="20"/>
        </w:rPr>
        <w:t>enrollment trends for the past four years</w:t>
      </w:r>
      <w:r w:rsidR="006E19D0">
        <w:rPr>
          <w:rFonts w:ascii="Garamond" w:hAnsi="Garamond" w:cs="Times New Roman"/>
          <w:sz w:val="24"/>
          <w:szCs w:val="20"/>
        </w:rPr>
        <w:t xml:space="preserve"> are highlighted in the table below</w:t>
      </w:r>
      <w:r w:rsidR="00D20658">
        <w:rPr>
          <w:rFonts w:ascii="Garamond" w:hAnsi="Garamond" w:cs="Times New Roman"/>
          <w:sz w:val="24"/>
          <w:szCs w:val="20"/>
        </w:rPr>
        <w:t>:</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2A1283" w:rsidRPr="002A1283" w:rsidTr="00D10700">
        <w:trPr>
          <w:trHeight w:val="290"/>
        </w:trPr>
        <w:tc>
          <w:tcPr>
            <w:tcW w:w="1559" w:type="dxa"/>
            <w:noWrap/>
            <w:hideMark/>
          </w:tcPr>
          <w:p w:rsidR="002A1283" w:rsidRPr="002A1283" w:rsidRDefault="002A1283" w:rsidP="002A1283">
            <w:pPr>
              <w:spacing w:after="120" w:line="259" w:lineRule="auto"/>
              <w:rPr>
                <w:rFonts w:ascii="Garamond" w:hAnsi="Garamond" w:cs="Times New Roman"/>
                <w:b/>
                <w:bCs/>
                <w:sz w:val="24"/>
                <w:szCs w:val="20"/>
              </w:rPr>
            </w:pPr>
            <w:r w:rsidRPr="002A1283">
              <w:rPr>
                <w:rFonts w:ascii="Garamond" w:hAnsi="Garamond" w:cs="Times New Roman"/>
                <w:b/>
                <w:bCs/>
                <w:sz w:val="24"/>
                <w:szCs w:val="20"/>
              </w:rPr>
              <w:t>Program Year</w:t>
            </w:r>
          </w:p>
        </w:tc>
        <w:tc>
          <w:tcPr>
            <w:tcW w:w="1559" w:type="dxa"/>
            <w:noWrap/>
            <w:hideMark/>
          </w:tcPr>
          <w:p w:rsidR="002A1283" w:rsidRPr="002A1283" w:rsidRDefault="002A1283" w:rsidP="002A1283">
            <w:pPr>
              <w:spacing w:after="120" w:line="259" w:lineRule="auto"/>
              <w:rPr>
                <w:rFonts w:ascii="Garamond" w:hAnsi="Garamond" w:cs="Times New Roman"/>
                <w:b/>
                <w:bCs/>
                <w:sz w:val="24"/>
                <w:szCs w:val="20"/>
              </w:rPr>
            </w:pPr>
            <w:r w:rsidRPr="002A1283">
              <w:rPr>
                <w:rFonts w:ascii="Garamond" w:hAnsi="Garamond" w:cs="Times New Roman"/>
                <w:b/>
                <w:bCs/>
                <w:sz w:val="24"/>
                <w:szCs w:val="20"/>
              </w:rPr>
              <w:t>Beginning Literacy</w:t>
            </w:r>
          </w:p>
        </w:tc>
        <w:tc>
          <w:tcPr>
            <w:tcW w:w="1558" w:type="dxa"/>
            <w:noWrap/>
            <w:hideMark/>
          </w:tcPr>
          <w:p w:rsidR="002A1283" w:rsidRPr="002A1283" w:rsidRDefault="002A1283" w:rsidP="002A1283">
            <w:pPr>
              <w:spacing w:after="120" w:line="259" w:lineRule="auto"/>
              <w:rPr>
                <w:rFonts w:ascii="Garamond" w:hAnsi="Garamond" w:cs="Times New Roman"/>
                <w:b/>
                <w:bCs/>
                <w:sz w:val="24"/>
                <w:szCs w:val="20"/>
              </w:rPr>
            </w:pPr>
            <w:r w:rsidRPr="002A1283">
              <w:rPr>
                <w:rFonts w:ascii="Garamond" w:hAnsi="Garamond" w:cs="Times New Roman"/>
                <w:b/>
                <w:bCs/>
                <w:sz w:val="24"/>
                <w:szCs w:val="20"/>
              </w:rPr>
              <w:t>Adult Education</w:t>
            </w:r>
          </w:p>
        </w:tc>
        <w:tc>
          <w:tcPr>
            <w:tcW w:w="1558" w:type="dxa"/>
            <w:noWrap/>
            <w:hideMark/>
          </w:tcPr>
          <w:p w:rsidR="002A1283" w:rsidRPr="002A1283" w:rsidRDefault="002A1283" w:rsidP="002A1283">
            <w:pPr>
              <w:spacing w:after="120" w:line="259" w:lineRule="auto"/>
              <w:rPr>
                <w:rFonts w:ascii="Garamond" w:hAnsi="Garamond" w:cs="Times New Roman"/>
                <w:b/>
                <w:bCs/>
                <w:sz w:val="24"/>
                <w:szCs w:val="20"/>
              </w:rPr>
            </w:pPr>
            <w:r w:rsidRPr="002A1283">
              <w:rPr>
                <w:rFonts w:ascii="Garamond" w:hAnsi="Garamond" w:cs="Times New Roman"/>
                <w:b/>
                <w:bCs/>
                <w:sz w:val="24"/>
                <w:szCs w:val="20"/>
              </w:rPr>
              <w:t>Adult Secondary Education</w:t>
            </w:r>
          </w:p>
        </w:tc>
        <w:tc>
          <w:tcPr>
            <w:tcW w:w="1558" w:type="dxa"/>
            <w:noWrap/>
            <w:hideMark/>
          </w:tcPr>
          <w:p w:rsidR="002A1283" w:rsidRPr="002A1283" w:rsidRDefault="002A1283" w:rsidP="002A1283">
            <w:pPr>
              <w:spacing w:after="120" w:line="259" w:lineRule="auto"/>
              <w:rPr>
                <w:rFonts w:ascii="Garamond" w:hAnsi="Garamond" w:cs="Times New Roman"/>
                <w:b/>
                <w:bCs/>
                <w:sz w:val="24"/>
                <w:szCs w:val="20"/>
              </w:rPr>
            </w:pPr>
            <w:r w:rsidRPr="002A1283">
              <w:rPr>
                <w:rFonts w:ascii="Garamond" w:hAnsi="Garamond" w:cs="Times New Roman"/>
                <w:b/>
                <w:bCs/>
                <w:sz w:val="24"/>
                <w:szCs w:val="20"/>
              </w:rPr>
              <w:t>ESL</w:t>
            </w:r>
          </w:p>
        </w:tc>
        <w:tc>
          <w:tcPr>
            <w:tcW w:w="1558" w:type="dxa"/>
            <w:noWrap/>
            <w:hideMark/>
          </w:tcPr>
          <w:p w:rsidR="002A1283" w:rsidRPr="002A1283" w:rsidRDefault="002A1283" w:rsidP="002A1283">
            <w:pPr>
              <w:spacing w:after="120" w:line="259" w:lineRule="auto"/>
              <w:rPr>
                <w:rFonts w:ascii="Garamond" w:hAnsi="Garamond" w:cs="Times New Roman"/>
                <w:b/>
                <w:bCs/>
                <w:sz w:val="24"/>
                <w:szCs w:val="20"/>
              </w:rPr>
            </w:pPr>
            <w:r w:rsidRPr="002A1283">
              <w:rPr>
                <w:rFonts w:ascii="Garamond" w:hAnsi="Garamond" w:cs="Times New Roman"/>
                <w:b/>
                <w:bCs/>
                <w:sz w:val="24"/>
                <w:szCs w:val="20"/>
              </w:rPr>
              <w:t>Total Enrollment</w:t>
            </w:r>
          </w:p>
        </w:tc>
      </w:tr>
      <w:tr w:rsidR="002A1283" w:rsidRPr="002A1283" w:rsidTr="00D10700">
        <w:trPr>
          <w:trHeight w:val="290"/>
        </w:trPr>
        <w:tc>
          <w:tcPr>
            <w:tcW w:w="1559" w:type="dxa"/>
            <w:hideMark/>
          </w:tcPr>
          <w:p w:rsidR="002A1283" w:rsidRPr="002A1283" w:rsidRDefault="00DE4F55" w:rsidP="002A1283">
            <w:pPr>
              <w:spacing w:after="120" w:line="259" w:lineRule="auto"/>
              <w:rPr>
                <w:rFonts w:ascii="Garamond" w:hAnsi="Garamond" w:cs="Times New Roman"/>
                <w:sz w:val="24"/>
                <w:szCs w:val="20"/>
              </w:rPr>
            </w:pPr>
            <w:r>
              <w:rPr>
                <w:rFonts w:ascii="Garamond" w:hAnsi="Garamond" w:cs="Times New Roman"/>
                <w:sz w:val="24"/>
                <w:szCs w:val="20"/>
              </w:rPr>
              <w:t>P</w:t>
            </w:r>
            <w:r w:rsidR="002A1283" w:rsidRPr="002A1283">
              <w:rPr>
                <w:rFonts w:ascii="Garamond" w:hAnsi="Garamond" w:cs="Times New Roman"/>
                <w:sz w:val="24"/>
                <w:szCs w:val="20"/>
              </w:rPr>
              <w:t>Y 16/17</w:t>
            </w:r>
          </w:p>
        </w:tc>
        <w:tc>
          <w:tcPr>
            <w:tcW w:w="1559"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2057</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5048</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1167</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4483</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12755</w:t>
            </w:r>
          </w:p>
        </w:tc>
      </w:tr>
      <w:tr w:rsidR="002A1283" w:rsidRPr="002A1283" w:rsidTr="00D10700">
        <w:trPr>
          <w:trHeight w:val="290"/>
        </w:trPr>
        <w:tc>
          <w:tcPr>
            <w:tcW w:w="1559" w:type="dxa"/>
            <w:hideMark/>
          </w:tcPr>
          <w:p w:rsidR="002A1283" w:rsidRPr="002A1283" w:rsidRDefault="00DE4F55" w:rsidP="002A1283">
            <w:pPr>
              <w:spacing w:after="120" w:line="259" w:lineRule="auto"/>
              <w:rPr>
                <w:rFonts w:ascii="Garamond" w:hAnsi="Garamond" w:cs="Times New Roman"/>
                <w:sz w:val="24"/>
                <w:szCs w:val="20"/>
              </w:rPr>
            </w:pPr>
            <w:r>
              <w:rPr>
                <w:rFonts w:ascii="Garamond" w:hAnsi="Garamond" w:cs="Times New Roman"/>
                <w:sz w:val="24"/>
                <w:szCs w:val="20"/>
              </w:rPr>
              <w:t>P</w:t>
            </w:r>
            <w:r w:rsidR="002A1283" w:rsidRPr="002A1283">
              <w:rPr>
                <w:rFonts w:ascii="Garamond" w:hAnsi="Garamond" w:cs="Times New Roman"/>
                <w:sz w:val="24"/>
                <w:szCs w:val="20"/>
              </w:rPr>
              <w:t>Y 17/18</w:t>
            </w:r>
          </w:p>
        </w:tc>
        <w:tc>
          <w:tcPr>
            <w:tcW w:w="1559"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1976</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4887</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1266</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4098</w:t>
            </w:r>
          </w:p>
        </w:tc>
        <w:tc>
          <w:tcPr>
            <w:tcW w:w="1558" w:type="dxa"/>
            <w:hideMark/>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12227</w:t>
            </w:r>
          </w:p>
        </w:tc>
      </w:tr>
      <w:tr w:rsidR="002A1283" w:rsidRPr="002A1283" w:rsidTr="00D10700">
        <w:trPr>
          <w:trHeight w:val="290"/>
        </w:trPr>
        <w:tc>
          <w:tcPr>
            <w:tcW w:w="1559" w:type="dxa"/>
          </w:tcPr>
          <w:p w:rsidR="002A1283" w:rsidRPr="002A1283" w:rsidRDefault="00DE4F55" w:rsidP="002A1283">
            <w:pPr>
              <w:spacing w:after="120" w:line="259" w:lineRule="auto"/>
              <w:rPr>
                <w:rFonts w:ascii="Garamond" w:hAnsi="Garamond" w:cs="Times New Roman"/>
                <w:sz w:val="24"/>
                <w:szCs w:val="20"/>
              </w:rPr>
            </w:pPr>
            <w:r>
              <w:rPr>
                <w:rFonts w:ascii="Garamond" w:hAnsi="Garamond" w:cs="Times New Roman"/>
                <w:sz w:val="24"/>
                <w:szCs w:val="20"/>
              </w:rPr>
              <w:t>P</w:t>
            </w:r>
            <w:r w:rsidR="002A1283" w:rsidRPr="002A1283">
              <w:rPr>
                <w:rFonts w:ascii="Garamond" w:hAnsi="Garamond" w:cs="Times New Roman"/>
                <w:sz w:val="24"/>
                <w:szCs w:val="20"/>
              </w:rPr>
              <w:t>Y 18/19</w:t>
            </w:r>
          </w:p>
        </w:tc>
        <w:tc>
          <w:tcPr>
            <w:tcW w:w="1559" w:type="dxa"/>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2649</w:t>
            </w:r>
          </w:p>
        </w:tc>
        <w:tc>
          <w:tcPr>
            <w:tcW w:w="1558" w:type="dxa"/>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3825</w:t>
            </w:r>
          </w:p>
        </w:tc>
        <w:tc>
          <w:tcPr>
            <w:tcW w:w="1558" w:type="dxa"/>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361</w:t>
            </w:r>
          </w:p>
        </w:tc>
        <w:tc>
          <w:tcPr>
            <w:tcW w:w="1558" w:type="dxa"/>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4125</w:t>
            </w:r>
          </w:p>
        </w:tc>
        <w:tc>
          <w:tcPr>
            <w:tcW w:w="1558" w:type="dxa"/>
          </w:tcPr>
          <w:p w:rsidR="002A1283" w:rsidRPr="002A1283" w:rsidRDefault="002A1283" w:rsidP="002A1283">
            <w:pPr>
              <w:spacing w:after="120" w:line="259" w:lineRule="auto"/>
              <w:rPr>
                <w:rFonts w:ascii="Garamond" w:hAnsi="Garamond" w:cs="Times New Roman"/>
                <w:sz w:val="24"/>
                <w:szCs w:val="20"/>
              </w:rPr>
            </w:pPr>
            <w:r w:rsidRPr="002A1283">
              <w:rPr>
                <w:rFonts w:ascii="Garamond" w:hAnsi="Garamond" w:cs="Times New Roman"/>
                <w:sz w:val="24"/>
                <w:szCs w:val="20"/>
              </w:rPr>
              <w:t>10960</w:t>
            </w:r>
          </w:p>
        </w:tc>
      </w:tr>
      <w:tr w:rsidR="002A1283" w:rsidRPr="002A1283" w:rsidTr="00D10700">
        <w:trPr>
          <w:trHeight w:val="290"/>
        </w:trPr>
        <w:tc>
          <w:tcPr>
            <w:tcW w:w="1559" w:type="dxa"/>
          </w:tcPr>
          <w:p w:rsidR="002A1283" w:rsidRPr="002A1283" w:rsidRDefault="00DE4F55" w:rsidP="002A1283">
            <w:pPr>
              <w:spacing w:after="120" w:line="259" w:lineRule="auto"/>
              <w:rPr>
                <w:rFonts w:ascii="Garamond" w:hAnsi="Garamond" w:cs="Times New Roman"/>
                <w:sz w:val="24"/>
                <w:szCs w:val="20"/>
              </w:rPr>
            </w:pPr>
            <w:r>
              <w:rPr>
                <w:rFonts w:ascii="Garamond" w:hAnsi="Garamond" w:cs="Times New Roman"/>
                <w:sz w:val="24"/>
                <w:szCs w:val="20"/>
              </w:rPr>
              <w:t>P</w:t>
            </w:r>
            <w:r w:rsidR="002A1283" w:rsidRPr="002A1283">
              <w:rPr>
                <w:rFonts w:ascii="Garamond" w:hAnsi="Garamond" w:cs="Times New Roman"/>
                <w:sz w:val="24"/>
                <w:szCs w:val="20"/>
              </w:rPr>
              <w:t>Y 19/20</w:t>
            </w:r>
          </w:p>
        </w:tc>
        <w:tc>
          <w:tcPr>
            <w:tcW w:w="1559" w:type="dxa"/>
          </w:tcPr>
          <w:p w:rsidR="002A1283" w:rsidRPr="002A1283" w:rsidRDefault="00447A16" w:rsidP="002A1283">
            <w:pPr>
              <w:spacing w:after="120" w:line="259" w:lineRule="auto"/>
              <w:rPr>
                <w:rFonts w:ascii="Garamond" w:hAnsi="Garamond" w:cs="Times New Roman"/>
                <w:sz w:val="24"/>
                <w:szCs w:val="20"/>
              </w:rPr>
            </w:pPr>
            <w:r>
              <w:rPr>
                <w:rFonts w:ascii="Garamond" w:hAnsi="Garamond" w:cs="Times New Roman"/>
                <w:sz w:val="24"/>
                <w:szCs w:val="20"/>
              </w:rPr>
              <w:t>2286</w:t>
            </w:r>
          </w:p>
        </w:tc>
        <w:tc>
          <w:tcPr>
            <w:tcW w:w="1558" w:type="dxa"/>
          </w:tcPr>
          <w:p w:rsidR="002A1283" w:rsidRPr="002A1283" w:rsidRDefault="007A4A12" w:rsidP="002A1283">
            <w:pPr>
              <w:spacing w:after="120" w:line="259" w:lineRule="auto"/>
              <w:rPr>
                <w:rFonts w:ascii="Garamond" w:hAnsi="Garamond" w:cs="Times New Roman"/>
                <w:sz w:val="24"/>
                <w:szCs w:val="20"/>
              </w:rPr>
            </w:pPr>
            <w:r>
              <w:rPr>
                <w:rFonts w:ascii="Garamond" w:hAnsi="Garamond" w:cs="Times New Roman"/>
                <w:sz w:val="24"/>
                <w:szCs w:val="20"/>
              </w:rPr>
              <w:t>3476</w:t>
            </w:r>
          </w:p>
        </w:tc>
        <w:tc>
          <w:tcPr>
            <w:tcW w:w="1558" w:type="dxa"/>
          </w:tcPr>
          <w:p w:rsidR="002A1283" w:rsidRPr="002A1283" w:rsidRDefault="007A4A12" w:rsidP="002A1283">
            <w:pPr>
              <w:spacing w:after="120" w:line="259" w:lineRule="auto"/>
              <w:rPr>
                <w:rFonts w:ascii="Garamond" w:hAnsi="Garamond" w:cs="Times New Roman"/>
                <w:sz w:val="24"/>
                <w:szCs w:val="20"/>
              </w:rPr>
            </w:pPr>
            <w:r>
              <w:rPr>
                <w:rFonts w:ascii="Garamond" w:hAnsi="Garamond" w:cs="Times New Roman"/>
                <w:sz w:val="24"/>
                <w:szCs w:val="20"/>
              </w:rPr>
              <w:t>230</w:t>
            </w:r>
          </w:p>
        </w:tc>
        <w:tc>
          <w:tcPr>
            <w:tcW w:w="1558" w:type="dxa"/>
          </w:tcPr>
          <w:p w:rsidR="002A1283" w:rsidRPr="002A1283" w:rsidRDefault="007A4A12" w:rsidP="002A1283">
            <w:pPr>
              <w:spacing w:after="120" w:line="259" w:lineRule="auto"/>
              <w:rPr>
                <w:rFonts w:ascii="Garamond" w:hAnsi="Garamond" w:cs="Times New Roman"/>
                <w:sz w:val="24"/>
                <w:szCs w:val="20"/>
              </w:rPr>
            </w:pPr>
            <w:r>
              <w:rPr>
                <w:rFonts w:ascii="Garamond" w:hAnsi="Garamond" w:cs="Times New Roman"/>
                <w:sz w:val="24"/>
                <w:szCs w:val="20"/>
              </w:rPr>
              <w:t>3528</w:t>
            </w:r>
          </w:p>
        </w:tc>
        <w:tc>
          <w:tcPr>
            <w:tcW w:w="1558" w:type="dxa"/>
          </w:tcPr>
          <w:p w:rsidR="002A1283" w:rsidRPr="002A1283" w:rsidRDefault="007A4A12" w:rsidP="002A1283">
            <w:pPr>
              <w:spacing w:after="120" w:line="259" w:lineRule="auto"/>
              <w:rPr>
                <w:rFonts w:ascii="Garamond" w:hAnsi="Garamond" w:cs="Times New Roman"/>
                <w:sz w:val="24"/>
                <w:szCs w:val="20"/>
              </w:rPr>
            </w:pPr>
            <w:r>
              <w:rPr>
                <w:rFonts w:ascii="Garamond" w:hAnsi="Garamond" w:cs="Times New Roman"/>
                <w:sz w:val="24"/>
                <w:szCs w:val="20"/>
              </w:rPr>
              <w:t>9520</w:t>
            </w:r>
          </w:p>
        </w:tc>
      </w:tr>
    </w:tbl>
    <w:p w:rsidR="009F3455" w:rsidRDefault="009F3455" w:rsidP="00DB391A">
      <w:pPr>
        <w:spacing w:after="120"/>
        <w:rPr>
          <w:rFonts w:ascii="Garamond" w:hAnsi="Garamond" w:cs="Times New Roman"/>
          <w:sz w:val="24"/>
          <w:szCs w:val="20"/>
        </w:rPr>
      </w:pPr>
    </w:p>
    <w:p w:rsidR="00DB391A" w:rsidRDefault="00035C67" w:rsidP="00DB391A">
      <w:pPr>
        <w:spacing w:after="120"/>
        <w:rPr>
          <w:rFonts w:ascii="Garamond" w:hAnsi="Garamond" w:cs="Times New Roman"/>
          <w:sz w:val="24"/>
          <w:szCs w:val="20"/>
        </w:rPr>
      </w:pPr>
      <w:r>
        <w:rPr>
          <w:rFonts w:ascii="Garamond" w:hAnsi="Garamond" w:cs="Times New Roman"/>
          <w:sz w:val="24"/>
          <w:szCs w:val="20"/>
        </w:rPr>
        <w:t>The data shows an overall downward trend in statewide program enrollment, with a</w:t>
      </w:r>
      <w:r w:rsidR="00DB391A">
        <w:rPr>
          <w:rFonts w:ascii="Garamond" w:hAnsi="Garamond" w:cs="Times New Roman"/>
          <w:sz w:val="24"/>
          <w:szCs w:val="20"/>
        </w:rPr>
        <w:t xml:space="preserve"> significant decrease between </w:t>
      </w:r>
      <w:r w:rsidR="00023EB4">
        <w:rPr>
          <w:rFonts w:ascii="Garamond" w:hAnsi="Garamond" w:cs="Times New Roman"/>
          <w:sz w:val="24"/>
          <w:szCs w:val="20"/>
        </w:rPr>
        <w:t>P</w:t>
      </w:r>
      <w:r w:rsidR="00DB391A">
        <w:rPr>
          <w:rFonts w:ascii="Garamond" w:hAnsi="Garamond" w:cs="Times New Roman"/>
          <w:sz w:val="24"/>
          <w:szCs w:val="20"/>
        </w:rPr>
        <w:t xml:space="preserve">Y17/18 and </w:t>
      </w:r>
      <w:r w:rsidR="00023EB4">
        <w:rPr>
          <w:rFonts w:ascii="Garamond" w:hAnsi="Garamond" w:cs="Times New Roman"/>
          <w:sz w:val="24"/>
          <w:szCs w:val="20"/>
        </w:rPr>
        <w:t>P</w:t>
      </w:r>
      <w:r w:rsidR="00DB391A">
        <w:rPr>
          <w:rFonts w:ascii="Garamond" w:hAnsi="Garamond" w:cs="Times New Roman"/>
          <w:sz w:val="24"/>
          <w:szCs w:val="20"/>
        </w:rPr>
        <w:t>Y18/19</w:t>
      </w:r>
      <w:r>
        <w:rPr>
          <w:rFonts w:ascii="Garamond" w:hAnsi="Garamond" w:cs="Times New Roman"/>
          <w:sz w:val="24"/>
          <w:szCs w:val="20"/>
        </w:rPr>
        <w:t xml:space="preserve"> and another</w:t>
      </w:r>
      <w:r w:rsidR="00DB391A">
        <w:rPr>
          <w:rFonts w:ascii="Garamond" w:hAnsi="Garamond" w:cs="Times New Roman"/>
          <w:sz w:val="24"/>
          <w:szCs w:val="20"/>
        </w:rPr>
        <w:t xml:space="preserve"> significant decrease </w:t>
      </w:r>
      <w:r>
        <w:rPr>
          <w:rFonts w:ascii="Garamond" w:hAnsi="Garamond" w:cs="Times New Roman"/>
          <w:sz w:val="24"/>
          <w:szCs w:val="20"/>
        </w:rPr>
        <w:t xml:space="preserve">between </w:t>
      </w:r>
      <w:r w:rsidR="00023EB4">
        <w:rPr>
          <w:rFonts w:ascii="Garamond" w:hAnsi="Garamond" w:cs="Times New Roman"/>
          <w:sz w:val="24"/>
          <w:szCs w:val="20"/>
        </w:rPr>
        <w:t>P</w:t>
      </w:r>
      <w:r w:rsidR="00DB391A">
        <w:rPr>
          <w:rFonts w:ascii="Garamond" w:hAnsi="Garamond" w:cs="Times New Roman"/>
          <w:sz w:val="24"/>
          <w:szCs w:val="20"/>
        </w:rPr>
        <w:t>Y1</w:t>
      </w:r>
      <w:r w:rsidR="00023EB4">
        <w:rPr>
          <w:rFonts w:ascii="Garamond" w:hAnsi="Garamond" w:cs="Times New Roman"/>
          <w:sz w:val="24"/>
          <w:szCs w:val="20"/>
        </w:rPr>
        <w:t>8</w:t>
      </w:r>
      <w:r w:rsidR="00DB391A">
        <w:rPr>
          <w:rFonts w:ascii="Garamond" w:hAnsi="Garamond" w:cs="Times New Roman"/>
          <w:sz w:val="24"/>
          <w:szCs w:val="20"/>
        </w:rPr>
        <w:t xml:space="preserve">/19 and </w:t>
      </w:r>
      <w:r w:rsidR="00023EB4">
        <w:rPr>
          <w:rFonts w:ascii="Garamond" w:hAnsi="Garamond" w:cs="Times New Roman"/>
          <w:sz w:val="24"/>
          <w:szCs w:val="20"/>
        </w:rPr>
        <w:t>P</w:t>
      </w:r>
      <w:r w:rsidR="00DB391A">
        <w:rPr>
          <w:rFonts w:ascii="Garamond" w:hAnsi="Garamond" w:cs="Times New Roman"/>
          <w:sz w:val="24"/>
          <w:szCs w:val="20"/>
        </w:rPr>
        <w:t>Y19/20</w:t>
      </w:r>
      <w:r>
        <w:rPr>
          <w:rFonts w:ascii="Garamond" w:hAnsi="Garamond" w:cs="Times New Roman"/>
          <w:sz w:val="24"/>
          <w:szCs w:val="20"/>
        </w:rPr>
        <w:t xml:space="preserve">.  </w:t>
      </w:r>
      <w:r w:rsidR="005E14ED">
        <w:rPr>
          <w:rFonts w:ascii="Garamond" w:hAnsi="Garamond" w:cs="Times New Roman"/>
          <w:sz w:val="24"/>
          <w:szCs w:val="20"/>
        </w:rPr>
        <w:t>P</w:t>
      </w:r>
      <w:r w:rsidR="00570329">
        <w:rPr>
          <w:rFonts w:ascii="Garamond" w:hAnsi="Garamond" w:cs="Times New Roman"/>
          <w:sz w:val="24"/>
          <w:szCs w:val="20"/>
        </w:rPr>
        <w:t>andemic-related shutdowns</w:t>
      </w:r>
      <w:r w:rsidR="005E14ED">
        <w:rPr>
          <w:rFonts w:ascii="Garamond" w:hAnsi="Garamond" w:cs="Times New Roman"/>
          <w:sz w:val="24"/>
          <w:szCs w:val="20"/>
        </w:rPr>
        <w:t xml:space="preserve"> certainly contributed to the latest drop; most in-person </w:t>
      </w:r>
      <w:r w:rsidR="005E14ED">
        <w:rPr>
          <w:rFonts w:ascii="Garamond" w:hAnsi="Garamond" w:cs="Times New Roman"/>
          <w:sz w:val="24"/>
          <w:szCs w:val="20"/>
        </w:rPr>
        <w:lastRenderedPageBreak/>
        <w:t>service shutdowns</w:t>
      </w:r>
      <w:r w:rsidR="00570329">
        <w:rPr>
          <w:rFonts w:ascii="Garamond" w:hAnsi="Garamond" w:cs="Times New Roman"/>
          <w:sz w:val="24"/>
          <w:szCs w:val="20"/>
        </w:rPr>
        <w:t xml:space="preserve"> happened early in New Mexico and in a more widespread, comprehensive fashion (per governor orders and urgings) than in many states across the natio</w:t>
      </w:r>
      <w:r w:rsidR="005E14ED">
        <w:rPr>
          <w:rFonts w:ascii="Garamond" w:hAnsi="Garamond" w:cs="Times New Roman"/>
          <w:sz w:val="24"/>
          <w:szCs w:val="20"/>
        </w:rPr>
        <w:t xml:space="preserve">n.  Drilling down a bit, we see that only beginning literacy enrollment figures have held fairly steady </w:t>
      </w:r>
      <w:r w:rsidR="00DE4F55">
        <w:rPr>
          <w:rFonts w:ascii="Garamond" w:hAnsi="Garamond" w:cs="Times New Roman"/>
          <w:sz w:val="24"/>
          <w:szCs w:val="20"/>
        </w:rPr>
        <w:t>since 2016</w:t>
      </w:r>
      <w:r w:rsidR="005E14ED">
        <w:rPr>
          <w:rFonts w:ascii="Garamond" w:hAnsi="Garamond" w:cs="Times New Roman"/>
          <w:sz w:val="24"/>
          <w:szCs w:val="20"/>
        </w:rPr>
        <w:t xml:space="preserve">, with Adult Education, Adult Secondary Education, and ESL enrollment figures all dropping continuously, for the most part.  </w:t>
      </w:r>
      <w:r w:rsidR="002E2700">
        <w:rPr>
          <w:rFonts w:ascii="Garamond" w:hAnsi="Garamond" w:cs="Times New Roman"/>
          <w:sz w:val="24"/>
          <w:szCs w:val="20"/>
        </w:rPr>
        <w:t>A</w:t>
      </w:r>
      <w:r w:rsidR="005E14ED">
        <w:rPr>
          <w:rFonts w:ascii="Garamond" w:hAnsi="Garamond" w:cs="Times New Roman"/>
          <w:sz w:val="24"/>
          <w:szCs w:val="20"/>
        </w:rPr>
        <w:t xml:space="preserve"> relationship </w:t>
      </w:r>
      <w:r w:rsidR="002E2700">
        <w:rPr>
          <w:rFonts w:ascii="Garamond" w:hAnsi="Garamond" w:cs="Times New Roman"/>
          <w:sz w:val="24"/>
          <w:szCs w:val="20"/>
        </w:rPr>
        <w:t xml:space="preserve">may </w:t>
      </w:r>
      <w:r w:rsidR="00F42810">
        <w:rPr>
          <w:rFonts w:ascii="Garamond" w:hAnsi="Garamond" w:cs="Times New Roman"/>
          <w:sz w:val="24"/>
          <w:szCs w:val="20"/>
        </w:rPr>
        <w:t xml:space="preserve">exist </w:t>
      </w:r>
      <w:r w:rsidR="005E14ED">
        <w:rPr>
          <w:rFonts w:ascii="Garamond" w:hAnsi="Garamond" w:cs="Times New Roman"/>
          <w:sz w:val="24"/>
          <w:szCs w:val="20"/>
        </w:rPr>
        <w:t xml:space="preserve">between </w:t>
      </w:r>
      <w:r w:rsidR="00DE4F55">
        <w:rPr>
          <w:rFonts w:ascii="Garamond" w:hAnsi="Garamond" w:cs="Times New Roman"/>
          <w:sz w:val="24"/>
          <w:szCs w:val="20"/>
        </w:rPr>
        <w:t>the</w:t>
      </w:r>
      <w:r w:rsidR="005E14ED">
        <w:rPr>
          <w:rFonts w:ascii="Garamond" w:hAnsi="Garamond" w:cs="Times New Roman"/>
          <w:sz w:val="24"/>
          <w:szCs w:val="20"/>
        </w:rPr>
        <w:t xml:space="preserve"> ESL enrollment </w:t>
      </w:r>
      <w:r w:rsidR="00DE4F55">
        <w:rPr>
          <w:rFonts w:ascii="Garamond" w:hAnsi="Garamond" w:cs="Times New Roman"/>
          <w:sz w:val="24"/>
          <w:szCs w:val="20"/>
        </w:rPr>
        <w:t xml:space="preserve">decline </w:t>
      </w:r>
      <w:r w:rsidR="005E14ED">
        <w:rPr>
          <w:rFonts w:ascii="Garamond" w:hAnsi="Garamond" w:cs="Times New Roman"/>
          <w:sz w:val="24"/>
          <w:szCs w:val="20"/>
        </w:rPr>
        <w:t xml:space="preserve">and changes </w:t>
      </w:r>
      <w:r w:rsidR="00DE4F55">
        <w:rPr>
          <w:rFonts w:ascii="Garamond" w:hAnsi="Garamond" w:cs="Times New Roman"/>
          <w:sz w:val="24"/>
          <w:szCs w:val="20"/>
        </w:rPr>
        <w:t>to</w:t>
      </w:r>
      <w:r w:rsidR="005E14ED">
        <w:rPr>
          <w:rFonts w:ascii="Garamond" w:hAnsi="Garamond" w:cs="Times New Roman"/>
          <w:sz w:val="24"/>
          <w:szCs w:val="20"/>
        </w:rPr>
        <w:t xml:space="preserve"> immigration policies and attitudes</w:t>
      </w:r>
      <w:r w:rsidR="003D2EE7">
        <w:rPr>
          <w:rFonts w:ascii="Garamond" w:hAnsi="Garamond" w:cs="Times New Roman"/>
          <w:sz w:val="24"/>
          <w:szCs w:val="20"/>
        </w:rPr>
        <w:t xml:space="preserve"> during the Trump presidency</w:t>
      </w:r>
      <w:r w:rsidR="002E2700">
        <w:rPr>
          <w:rFonts w:ascii="Garamond" w:hAnsi="Garamond" w:cs="Times New Roman"/>
          <w:sz w:val="24"/>
          <w:szCs w:val="20"/>
        </w:rPr>
        <w:t xml:space="preserve">, a possibility we plan to investigate </w:t>
      </w:r>
      <w:r w:rsidR="00F42810">
        <w:rPr>
          <w:rFonts w:ascii="Garamond" w:hAnsi="Garamond" w:cs="Times New Roman"/>
          <w:sz w:val="24"/>
          <w:szCs w:val="20"/>
        </w:rPr>
        <w:t>further.</w:t>
      </w:r>
      <w:r w:rsidR="003D2EE7">
        <w:rPr>
          <w:rFonts w:ascii="Garamond" w:hAnsi="Garamond" w:cs="Times New Roman"/>
          <w:sz w:val="24"/>
          <w:szCs w:val="20"/>
        </w:rPr>
        <w:t xml:space="preserve"> </w:t>
      </w:r>
      <w:r w:rsidR="00DE4F55">
        <w:rPr>
          <w:rFonts w:ascii="Garamond" w:hAnsi="Garamond" w:cs="Times New Roman"/>
          <w:sz w:val="24"/>
          <w:szCs w:val="20"/>
        </w:rPr>
        <w:t>T</w:t>
      </w:r>
      <w:r w:rsidR="003D2EE7">
        <w:rPr>
          <w:rFonts w:ascii="Garamond" w:hAnsi="Garamond" w:cs="Times New Roman"/>
          <w:sz w:val="24"/>
          <w:szCs w:val="20"/>
        </w:rPr>
        <w:t>he sharp drop in Adult Secondary Education enrollment</w:t>
      </w:r>
      <w:r w:rsidR="00DE4F55">
        <w:rPr>
          <w:rFonts w:ascii="Garamond" w:hAnsi="Garamond" w:cs="Times New Roman"/>
          <w:sz w:val="24"/>
          <w:szCs w:val="20"/>
        </w:rPr>
        <w:t xml:space="preserve"> since </w:t>
      </w:r>
      <w:r w:rsidR="00314662">
        <w:rPr>
          <w:rFonts w:ascii="Garamond" w:hAnsi="Garamond" w:cs="Times New Roman"/>
          <w:sz w:val="24"/>
          <w:szCs w:val="20"/>
        </w:rPr>
        <w:t>2016 is particularly noteworthy</w:t>
      </w:r>
      <w:r w:rsidR="006E19D0">
        <w:rPr>
          <w:rFonts w:ascii="Garamond" w:hAnsi="Garamond" w:cs="Times New Roman"/>
          <w:sz w:val="24"/>
          <w:szCs w:val="20"/>
        </w:rPr>
        <w:t>, a drop which is likely</w:t>
      </w:r>
      <w:r w:rsidR="00314662">
        <w:rPr>
          <w:rFonts w:ascii="Garamond" w:hAnsi="Garamond" w:cs="Times New Roman"/>
          <w:sz w:val="24"/>
          <w:szCs w:val="20"/>
        </w:rPr>
        <w:t xml:space="preserve"> related to the increasingly-strong job market in recent years – of course until </w:t>
      </w:r>
      <w:r w:rsidR="00314662" w:rsidRPr="0006023C">
        <w:rPr>
          <w:rFonts w:ascii="Garamond" w:hAnsi="Garamond" w:cs="Times New Roman"/>
          <w:i/>
          <w:sz w:val="24"/>
          <w:szCs w:val="20"/>
        </w:rPr>
        <w:t>very</w:t>
      </w:r>
      <w:r w:rsidR="00314662">
        <w:rPr>
          <w:rFonts w:ascii="Garamond" w:hAnsi="Garamond" w:cs="Times New Roman"/>
          <w:sz w:val="24"/>
          <w:szCs w:val="20"/>
        </w:rPr>
        <w:t xml:space="preserve"> recently</w:t>
      </w:r>
      <w:r w:rsidR="0006023C">
        <w:rPr>
          <w:rFonts w:ascii="Garamond" w:hAnsi="Garamond" w:cs="Times New Roman"/>
          <w:sz w:val="24"/>
          <w:szCs w:val="20"/>
        </w:rPr>
        <w:t xml:space="preserve"> with pandemic onset</w:t>
      </w:r>
      <w:r w:rsidR="00314662">
        <w:rPr>
          <w:rFonts w:ascii="Garamond" w:hAnsi="Garamond" w:cs="Times New Roman"/>
          <w:sz w:val="24"/>
          <w:szCs w:val="20"/>
        </w:rPr>
        <w:t>.</w:t>
      </w:r>
      <w:r w:rsidR="003D2EE7">
        <w:rPr>
          <w:rFonts w:ascii="Garamond" w:hAnsi="Garamond" w:cs="Times New Roman"/>
          <w:sz w:val="24"/>
          <w:szCs w:val="20"/>
        </w:rPr>
        <w:t xml:space="preserve">  At the time of this writing, we are not aware if this trend </w:t>
      </w:r>
      <w:r w:rsidR="00314662">
        <w:rPr>
          <w:rFonts w:ascii="Garamond" w:hAnsi="Garamond" w:cs="Times New Roman"/>
          <w:sz w:val="24"/>
          <w:szCs w:val="20"/>
        </w:rPr>
        <w:t>was</w:t>
      </w:r>
      <w:r w:rsidR="003D2EE7">
        <w:rPr>
          <w:rFonts w:ascii="Garamond" w:hAnsi="Garamond" w:cs="Times New Roman"/>
          <w:sz w:val="24"/>
          <w:szCs w:val="20"/>
        </w:rPr>
        <w:t xml:space="preserve"> widespread in other states across the country, but </w:t>
      </w:r>
      <w:r w:rsidR="002E2700">
        <w:rPr>
          <w:rFonts w:ascii="Garamond" w:hAnsi="Garamond" w:cs="Times New Roman"/>
          <w:sz w:val="24"/>
          <w:szCs w:val="20"/>
        </w:rPr>
        <w:t xml:space="preserve">again, </w:t>
      </w:r>
      <w:r w:rsidR="003D2EE7">
        <w:rPr>
          <w:rFonts w:ascii="Garamond" w:hAnsi="Garamond" w:cs="Times New Roman"/>
          <w:sz w:val="24"/>
          <w:szCs w:val="20"/>
        </w:rPr>
        <w:t xml:space="preserve">we plan to </w:t>
      </w:r>
      <w:r w:rsidR="00B74FA4">
        <w:rPr>
          <w:rFonts w:ascii="Garamond" w:hAnsi="Garamond" w:cs="Times New Roman"/>
          <w:sz w:val="24"/>
          <w:szCs w:val="20"/>
        </w:rPr>
        <w:t>probe</w:t>
      </w:r>
      <w:bookmarkStart w:id="0" w:name="_GoBack"/>
      <w:bookmarkEnd w:id="0"/>
      <w:r w:rsidR="00652024">
        <w:rPr>
          <w:rFonts w:ascii="Garamond" w:hAnsi="Garamond" w:cs="Times New Roman"/>
          <w:sz w:val="24"/>
          <w:szCs w:val="20"/>
        </w:rPr>
        <w:t xml:space="preserve"> f</w:t>
      </w:r>
      <w:r w:rsidR="002A4DAC">
        <w:rPr>
          <w:rFonts w:ascii="Garamond" w:hAnsi="Garamond" w:cs="Times New Roman"/>
          <w:sz w:val="24"/>
          <w:szCs w:val="20"/>
        </w:rPr>
        <w:t>urther</w:t>
      </w:r>
      <w:r w:rsidR="003D2EE7">
        <w:rPr>
          <w:rFonts w:ascii="Garamond" w:hAnsi="Garamond" w:cs="Times New Roman"/>
          <w:sz w:val="24"/>
          <w:szCs w:val="20"/>
        </w:rPr>
        <w:t>.</w:t>
      </w:r>
    </w:p>
    <w:p w:rsidR="009F4170" w:rsidRPr="009F4170" w:rsidRDefault="00DB391A" w:rsidP="00240833">
      <w:pPr>
        <w:spacing w:after="120"/>
        <w:rPr>
          <w:rFonts w:ascii="Garamond" w:hAnsi="Garamond" w:cs="Times New Roman"/>
          <w:sz w:val="24"/>
          <w:szCs w:val="20"/>
        </w:rPr>
      </w:pPr>
      <w:r>
        <w:rPr>
          <w:rFonts w:ascii="Garamond" w:hAnsi="Garamond" w:cs="Times New Roman"/>
          <w:sz w:val="24"/>
          <w:szCs w:val="20"/>
        </w:rPr>
        <w:t xml:space="preserve">Another important performance indicator to examine is measurable skill gains from NRS Table 4.  Four years of this </w:t>
      </w:r>
      <w:r w:rsidR="00D3755B">
        <w:rPr>
          <w:rFonts w:ascii="Garamond" w:hAnsi="Garamond" w:cs="Times New Roman"/>
          <w:sz w:val="24"/>
          <w:szCs w:val="20"/>
        </w:rPr>
        <w:t xml:space="preserve">aggregate </w:t>
      </w:r>
      <w:r>
        <w:rPr>
          <w:rFonts w:ascii="Garamond" w:hAnsi="Garamond" w:cs="Times New Roman"/>
          <w:sz w:val="24"/>
          <w:szCs w:val="20"/>
        </w:rPr>
        <w:t xml:space="preserve">data is </w:t>
      </w:r>
      <w:r w:rsidR="00570329">
        <w:rPr>
          <w:rFonts w:ascii="Garamond" w:hAnsi="Garamond" w:cs="Times New Roman"/>
          <w:sz w:val="24"/>
          <w:szCs w:val="20"/>
        </w:rPr>
        <w:t>presented in</w:t>
      </w:r>
      <w:r>
        <w:rPr>
          <w:rFonts w:ascii="Garamond" w:hAnsi="Garamond" w:cs="Times New Roman"/>
          <w:sz w:val="24"/>
          <w:szCs w:val="20"/>
        </w:rPr>
        <w:t xml:space="preserve"> the table below:</w:t>
      </w:r>
    </w:p>
    <w:p w:rsidR="009F4170" w:rsidRPr="00613566" w:rsidRDefault="00613566" w:rsidP="00240833">
      <w:pPr>
        <w:spacing w:after="120"/>
        <w:rPr>
          <w:rFonts w:ascii="Garamond" w:hAnsi="Garamond" w:cs="Times New Roman"/>
          <w:b/>
          <w:sz w:val="24"/>
          <w:szCs w:val="20"/>
        </w:rPr>
      </w:pPr>
      <w:r>
        <w:rPr>
          <w:rFonts w:ascii="Garamond" w:hAnsi="Garamond" w:cs="Times New Roman"/>
          <w:b/>
          <w:sz w:val="24"/>
          <w:szCs w:val="20"/>
        </w:rPr>
        <w:t>Measurable Skill Gains (NRS Table 4)</w:t>
      </w:r>
    </w:p>
    <w:tbl>
      <w:tblPr>
        <w:tblStyle w:val="TableGrid"/>
        <w:tblW w:w="0" w:type="auto"/>
        <w:tblLayout w:type="fixed"/>
        <w:tblLook w:val="04A0" w:firstRow="1" w:lastRow="0" w:firstColumn="1" w:lastColumn="0" w:noHBand="0" w:noVBand="1"/>
      </w:tblPr>
      <w:tblGrid>
        <w:gridCol w:w="1336"/>
        <w:gridCol w:w="909"/>
        <w:gridCol w:w="810"/>
        <w:gridCol w:w="810"/>
        <w:gridCol w:w="900"/>
        <w:gridCol w:w="810"/>
        <w:gridCol w:w="810"/>
        <w:gridCol w:w="810"/>
        <w:gridCol w:w="1440"/>
      </w:tblGrid>
      <w:tr w:rsidR="007A4A12" w:rsidRPr="002A1283" w:rsidTr="007A4A12">
        <w:trPr>
          <w:trHeight w:val="290"/>
        </w:trPr>
        <w:tc>
          <w:tcPr>
            <w:tcW w:w="1336" w:type="dxa"/>
            <w:noWrap/>
            <w:hideMark/>
          </w:tcPr>
          <w:p w:rsidR="007A4A12" w:rsidRPr="002A1283" w:rsidRDefault="007A4A12" w:rsidP="00D10700">
            <w:pPr>
              <w:spacing w:after="120" w:line="259" w:lineRule="auto"/>
              <w:rPr>
                <w:rFonts w:ascii="Garamond" w:hAnsi="Garamond" w:cs="Times New Roman"/>
                <w:b/>
                <w:bCs/>
                <w:sz w:val="24"/>
                <w:szCs w:val="20"/>
              </w:rPr>
            </w:pPr>
            <w:r w:rsidRPr="002A1283">
              <w:rPr>
                <w:rFonts w:ascii="Garamond" w:hAnsi="Garamond" w:cs="Times New Roman"/>
                <w:b/>
                <w:bCs/>
                <w:sz w:val="24"/>
                <w:szCs w:val="20"/>
              </w:rPr>
              <w:t>Program Year</w:t>
            </w:r>
          </w:p>
        </w:tc>
        <w:tc>
          <w:tcPr>
            <w:tcW w:w="909" w:type="dxa"/>
            <w:noWrap/>
            <w:hideMark/>
          </w:tcPr>
          <w:p w:rsidR="007A4A12" w:rsidRPr="002A1283" w:rsidRDefault="007A4A12" w:rsidP="00D10700">
            <w:pPr>
              <w:spacing w:after="120" w:line="259" w:lineRule="auto"/>
              <w:rPr>
                <w:rFonts w:ascii="Garamond" w:hAnsi="Garamond" w:cs="Times New Roman"/>
                <w:b/>
                <w:bCs/>
                <w:sz w:val="24"/>
                <w:szCs w:val="20"/>
              </w:rPr>
            </w:pPr>
            <w:r>
              <w:rPr>
                <w:rFonts w:ascii="Garamond" w:hAnsi="Garamond" w:cs="Times New Roman"/>
                <w:b/>
                <w:bCs/>
                <w:sz w:val="24"/>
                <w:szCs w:val="20"/>
              </w:rPr>
              <w:t>ABE Level 1</w:t>
            </w:r>
          </w:p>
        </w:tc>
        <w:tc>
          <w:tcPr>
            <w:tcW w:w="810" w:type="dxa"/>
          </w:tcPr>
          <w:p w:rsidR="007A4A12" w:rsidRPr="002A1283" w:rsidRDefault="007A4A12" w:rsidP="00D10700">
            <w:pPr>
              <w:spacing w:after="120"/>
              <w:rPr>
                <w:rFonts w:ascii="Garamond" w:hAnsi="Garamond" w:cs="Times New Roman"/>
                <w:b/>
                <w:bCs/>
                <w:sz w:val="24"/>
                <w:szCs w:val="20"/>
              </w:rPr>
            </w:pPr>
            <w:r>
              <w:rPr>
                <w:rFonts w:ascii="Garamond" w:hAnsi="Garamond" w:cs="Times New Roman"/>
                <w:b/>
                <w:bCs/>
                <w:sz w:val="24"/>
                <w:szCs w:val="20"/>
              </w:rPr>
              <w:t>ABE Level 2</w:t>
            </w:r>
          </w:p>
        </w:tc>
        <w:tc>
          <w:tcPr>
            <w:tcW w:w="810" w:type="dxa"/>
            <w:noWrap/>
            <w:hideMark/>
          </w:tcPr>
          <w:p w:rsidR="007A4A12" w:rsidRPr="002A1283" w:rsidRDefault="007A4A12" w:rsidP="00D10700">
            <w:pPr>
              <w:spacing w:after="120" w:line="259" w:lineRule="auto"/>
              <w:rPr>
                <w:rFonts w:ascii="Garamond" w:hAnsi="Garamond" w:cs="Times New Roman"/>
                <w:b/>
                <w:bCs/>
                <w:sz w:val="24"/>
                <w:szCs w:val="20"/>
              </w:rPr>
            </w:pPr>
            <w:r>
              <w:rPr>
                <w:rFonts w:ascii="Garamond" w:hAnsi="Garamond" w:cs="Times New Roman"/>
                <w:b/>
                <w:bCs/>
                <w:sz w:val="24"/>
                <w:szCs w:val="20"/>
              </w:rPr>
              <w:t>ABE Level 3</w:t>
            </w:r>
          </w:p>
        </w:tc>
        <w:tc>
          <w:tcPr>
            <w:tcW w:w="900" w:type="dxa"/>
          </w:tcPr>
          <w:p w:rsidR="007A4A12" w:rsidRPr="002A1283" w:rsidRDefault="007A4A12" w:rsidP="00D10700">
            <w:pPr>
              <w:spacing w:after="120"/>
              <w:rPr>
                <w:rFonts w:ascii="Garamond" w:hAnsi="Garamond" w:cs="Times New Roman"/>
                <w:b/>
                <w:bCs/>
                <w:sz w:val="24"/>
                <w:szCs w:val="20"/>
              </w:rPr>
            </w:pPr>
            <w:r>
              <w:rPr>
                <w:rFonts w:ascii="Garamond" w:hAnsi="Garamond" w:cs="Times New Roman"/>
                <w:b/>
                <w:bCs/>
                <w:sz w:val="24"/>
                <w:szCs w:val="20"/>
              </w:rPr>
              <w:t>ABE Level 4</w:t>
            </w:r>
          </w:p>
        </w:tc>
        <w:tc>
          <w:tcPr>
            <w:tcW w:w="810" w:type="dxa"/>
            <w:noWrap/>
            <w:hideMark/>
          </w:tcPr>
          <w:p w:rsidR="007A4A12" w:rsidRPr="002A1283" w:rsidRDefault="007A4A12" w:rsidP="00D10700">
            <w:pPr>
              <w:spacing w:after="120" w:line="259" w:lineRule="auto"/>
              <w:rPr>
                <w:rFonts w:ascii="Garamond" w:hAnsi="Garamond" w:cs="Times New Roman"/>
                <w:b/>
                <w:bCs/>
                <w:sz w:val="24"/>
                <w:szCs w:val="20"/>
              </w:rPr>
            </w:pPr>
            <w:r>
              <w:rPr>
                <w:rFonts w:ascii="Garamond" w:hAnsi="Garamond" w:cs="Times New Roman"/>
                <w:b/>
                <w:bCs/>
                <w:sz w:val="24"/>
                <w:szCs w:val="20"/>
              </w:rPr>
              <w:t>ABE Level 5</w:t>
            </w:r>
          </w:p>
        </w:tc>
        <w:tc>
          <w:tcPr>
            <w:tcW w:w="810" w:type="dxa"/>
          </w:tcPr>
          <w:p w:rsidR="007A4A12" w:rsidRPr="002A1283" w:rsidRDefault="007A4A12" w:rsidP="00D10700">
            <w:pPr>
              <w:spacing w:after="120"/>
              <w:rPr>
                <w:rFonts w:ascii="Garamond" w:hAnsi="Garamond" w:cs="Times New Roman"/>
                <w:b/>
                <w:bCs/>
                <w:sz w:val="24"/>
                <w:szCs w:val="20"/>
              </w:rPr>
            </w:pPr>
            <w:r>
              <w:rPr>
                <w:rFonts w:ascii="Garamond" w:hAnsi="Garamond" w:cs="Times New Roman"/>
                <w:b/>
                <w:bCs/>
                <w:sz w:val="24"/>
                <w:szCs w:val="20"/>
              </w:rPr>
              <w:t xml:space="preserve">ABE Level 6 </w:t>
            </w:r>
          </w:p>
        </w:tc>
        <w:tc>
          <w:tcPr>
            <w:tcW w:w="810" w:type="dxa"/>
            <w:noWrap/>
            <w:hideMark/>
          </w:tcPr>
          <w:p w:rsidR="007A4A12" w:rsidRPr="002A1283" w:rsidRDefault="007A4A12" w:rsidP="00D10700">
            <w:pPr>
              <w:spacing w:after="120" w:line="259" w:lineRule="auto"/>
              <w:rPr>
                <w:rFonts w:ascii="Garamond" w:hAnsi="Garamond" w:cs="Times New Roman"/>
                <w:b/>
                <w:bCs/>
                <w:sz w:val="24"/>
                <w:szCs w:val="20"/>
              </w:rPr>
            </w:pPr>
            <w:r w:rsidRPr="002A1283">
              <w:rPr>
                <w:rFonts w:ascii="Garamond" w:hAnsi="Garamond" w:cs="Times New Roman"/>
                <w:b/>
                <w:bCs/>
                <w:sz w:val="24"/>
                <w:szCs w:val="20"/>
              </w:rPr>
              <w:t>ESL</w:t>
            </w:r>
          </w:p>
        </w:tc>
        <w:tc>
          <w:tcPr>
            <w:tcW w:w="1440" w:type="dxa"/>
            <w:noWrap/>
            <w:hideMark/>
          </w:tcPr>
          <w:p w:rsidR="007A4A12" w:rsidRPr="002A1283" w:rsidRDefault="007A4A12" w:rsidP="00D10700">
            <w:pPr>
              <w:spacing w:after="120" w:line="259" w:lineRule="auto"/>
              <w:rPr>
                <w:rFonts w:ascii="Garamond" w:hAnsi="Garamond" w:cs="Times New Roman"/>
                <w:b/>
                <w:bCs/>
                <w:sz w:val="24"/>
                <w:szCs w:val="20"/>
              </w:rPr>
            </w:pPr>
            <w:r w:rsidRPr="002A1283">
              <w:rPr>
                <w:rFonts w:ascii="Garamond" w:hAnsi="Garamond" w:cs="Times New Roman"/>
                <w:b/>
                <w:bCs/>
                <w:sz w:val="24"/>
                <w:szCs w:val="20"/>
              </w:rPr>
              <w:t>Total Enrollment</w:t>
            </w:r>
          </w:p>
        </w:tc>
      </w:tr>
      <w:tr w:rsidR="007A4A12" w:rsidRPr="002A1283" w:rsidTr="007A4A12">
        <w:trPr>
          <w:trHeight w:val="290"/>
        </w:trPr>
        <w:tc>
          <w:tcPr>
            <w:tcW w:w="1336" w:type="dxa"/>
            <w:hideMark/>
          </w:tcPr>
          <w:p w:rsidR="007A4A12" w:rsidRPr="002A1283" w:rsidRDefault="004836F1" w:rsidP="00D10700">
            <w:pPr>
              <w:spacing w:after="120" w:line="259" w:lineRule="auto"/>
              <w:rPr>
                <w:rFonts w:ascii="Garamond" w:hAnsi="Garamond" w:cs="Times New Roman"/>
                <w:sz w:val="24"/>
                <w:szCs w:val="20"/>
              </w:rPr>
            </w:pPr>
            <w:r>
              <w:rPr>
                <w:rFonts w:ascii="Garamond" w:hAnsi="Garamond" w:cs="Times New Roman"/>
                <w:sz w:val="24"/>
                <w:szCs w:val="20"/>
              </w:rPr>
              <w:t>P</w:t>
            </w:r>
            <w:r w:rsidR="007A4A12" w:rsidRPr="002A1283">
              <w:rPr>
                <w:rFonts w:ascii="Garamond" w:hAnsi="Garamond" w:cs="Times New Roman"/>
                <w:sz w:val="24"/>
                <w:szCs w:val="20"/>
              </w:rPr>
              <w:t>Y 16/17</w:t>
            </w:r>
          </w:p>
        </w:tc>
        <w:tc>
          <w:tcPr>
            <w:tcW w:w="909"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44.9%</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40.1%</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35.8%</w:t>
            </w:r>
          </w:p>
        </w:tc>
        <w:tc>
          <w:tcPr>
            <w:tcW w:w="90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36.9%</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42.8%</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31.6%</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30.9%</w:t>
            </w:r>
          </w:p>
        </w:tc>
        <w:tc>
          <w:tcPr>
            <w:tcW w:w="144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35.4%</w:t>
            </w:r>
          </w:p>
        </w:tc>
      </w:tr>
      <w:tr w:rsidR="007A4A12" w:rsidRPr="002A1283" w:rsidTr="007A4A12">
        <w:trPr>
          <w:trHeight w:val="290"/>
        </w:trPr>
        <w:tc>
          <w:tcPr>
            <w:tcW w:w="1336" w:type="dxa"/>
            <w:hideMark/>
          </w:tcPr>
          <w:p w:rsidR="007A4A12" w:rsidRPr="002A1283" w:rsidRDefault="004836F1" w:rsidP="00D10700">
            <w:pPr>
              <w:spacing w:after="120" w:line="259" w:lineRule="auto"/>
              <w:rPr>
                <w:rFonts w:ascii="Garamond" w:hAnsi="Garamond" w:cs="Times New Roman"/>
                <w:sz w:val="24"/>
                <w:szCs w:val="20"/>
              </w:rPr>
            </w:pPr>
            <w:r>
              <w:rPr>
                <w:rFonts w:ascii="Garamond" w:hAnsi="Garamond" w:cs="Times New Roman"/>
                <w:sz w:val="24"/>
                <w:szCs w:val="20"/>
              </w:rPr>
              <w:t>P</w:t>
            </w:r>
            <w:r w:rsidR="007A4A12" w:rsidRPr="002A1283">
              <w:rPr>
                <w:rFonts w:ascii="Garamond" w:hAnsi="Garamond" w:cs="Times New Roman"/>
                <w:sz w:val="24"/>
                <w:szCs w:val="20"/>
              </w:rPr>
              <w:t>Y 17/18</w:t>
            </w:r>
          </w:p>
        </w:tc>
        <w:tc>
          <w:tcPr>
            <w:tcW w:w="909"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41.3%</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42.2%</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42.7%</w:t>
            </w:r>
          </w:p>
        </w:tc>
        <w:tc>
          <w:tcPr>
            <w:tcW w:w="90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43%</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49.1%</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46.1%</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32%</w:t>
            </w:r>
          </w:p>
        </w:tc>
        <w:tc>
          <w:tcPr>
            <w:tcW w:w="144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39.2%</w:t>
            </w:r>
          </w:p>
        </w:tc>
      </w:tr>
      <w:tr w:rsidR="007A4A12" w:rsidRPr="002A1283" w:rsidTr="007A4A12">
        <w:trPr>
          <w:trHeight w:val="290"/>
        </w:trPr>
        <w:tc>
          <w:tcPr>
            <w:tcW w:w="1336" w:type="dxa"/>
          </w:tcPr>
          <w:p w:rsidR="007A4A12" w:rsidRPr="002A1283" w:rsidRDefault="004836F1" w:rsidP="00D10700">
            <w:pPr>
              <w:spacing w:after="120" w:line="259" w:lineRule="auto"/>
              <w:rPr>
                <w:rFonts w:ascii="Garamond" w:hAnsi="Garamond" w:cs="Times New Roman"/>
                <w:sz w:val="24"/>
                <w:szCs w:val="20"/>
              </w:rPr>
            </w:pPr>
            <w:r>
              <w:rPr>
                <w:rFonts w:ascii="Garamond" w:hAnsi="Garamond" w:cs="Times New Roman"/>
                <w:sz w:val="24"/>
                <w:szCs w:val="20"/>
              </w:rPr>
              <w:t>P</w:t>
            </w:r>
            <w:r w:rsidR="007A4A12" w:rsidRPr="002A1283">
              <w:rPr>
                <w:rFonts w:ascii="Garamond" w:hAnsi="Garamond" w:cs="Times New Roman"/>
                <w:sz w:val="24"/>
                <w:szCs w:val="20"/>
              </w:rPr>
              <w:t>Y 18/19</w:t>
            </w:r>
          </w:p>
        </w:tc>
        <w:tc>
          <w:tcPr>
            <w:tcW w:w="909"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36.9%</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37.1%</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33.2%</w:t>
            </w:r>
          </w:p>
        </w:tc>
        <w:tc>
          <w:tcPr>
            <w:tcW w:w="90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33.9%</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42.2%</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37.8%</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36.3%</w:t>
            </w:r>
          </w:p>
        </w:tc>
        <w:tc>
          <w:tcPr>
            <w:tcW w:w="144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35.6%</w:t>
            </w:r>
          </w:p>
        </w:tc>
      </w:tr>
      <w:tr w:rsidR="007A4A12" w:rsidRPr="002A1283" w:rsidTr="007A4A12">
        <w:trPr>
          <w:trHeight w:val="290"/>
        </w:trPr>
        <w:tc>
          <w:tcPr>
            <w:tcW w:w="1336" w:type="dxa"/>
          </w:tcPr>
          <w:p w:rsidR="007A4A12" w:rsidRPr="002A1283" w:rsidRDefault="004836F1" w:rsidP="00D10700">
            <w:pPr>
              <w:spacing w:after="120" w:line="259" w:lineRule="auto"/>
              <w:rPr>
                <w:rFonts w:ascii="Garamond" w:hAnsi="Garamond" w:cs="Times New Roman"/>
                <w:sz w:val="24"/>
                <w:szCs w:val="20"/>
              </w:rPr>
            </w:pPr>
            <w:r>
              <w:rPr>
                <w:rFonts w:ascii="Garamond" w:hAnsi="Garamond" w:cs="Times New Roman"/>
                <w:sz w:val="24"/>
                <w:szCs w:val="20"/>
              </w:rPr>
              <w:t>P</w:t>
            </w:r>
            <w:r w:rsidR="007A4A12" w:rsidRPr="002A1283">
              <w:rPr>
                <w:rFonts w:ascii="Garamond" w:hAnsi="Garamond" w:cs="Times New Roman"/>
                <w:sz w:val="24"/>
                <w:szCs w:val="20"/>
              </w:rPr>
              <w:t>Y 19/20</w:t>
            </w:r>
          </w:p>
        </w:tc>
        <w:tc>
          <w:tcPr>
            <w:tcW w:w="909"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38.2%</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31.9%</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28.9%</w:t>
            </w:r>
          </w:p>
        </w:tc>
        <w:tc>
          <w:tcPr>
            <w:tcW w:w="90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31.8%</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30.2%</w:t>
            </w:r>
          </w:p>
        </w:tc>
        <w:tc>
          <w:tcPr>
            <w:tcW w:w="810" w:type="dxa"/>
          </w:tcPr>
          <w:p w:rsidR="007A4A12" w:rsidRPr="002A1283" w:rsidRDefault="007A4A12" w:rsidP="00D10700">
            <w:pPr>
              <w:spacing w:after="120"/>
              <w:rPr>
                <w:rFonts w:ascii="Garamond" w:hAnsi="Garamond" w:cs="Times New Roman"/>
                <w:sz w:val="24"/>
                <w:szCs w:val="20"/>
              </w:rPr>
            </w:pPr>
            <w:r>
              <w:rPr>
                <w:rFonts w:ascii="Garamond" w:hAnsi="Garamond" w:cs="Times New Roman"/>
                <w:sz w:val="24"/>
                <w:szCs w:val="20"/>
              </w:rPr>
              <w:t>16.7%</w:t>
            </w:r>
          </w:p>
        </w:tc>
        <w:tc>
          <w:tcPr>
            <w:tcW w:w="81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29.3%</w:t>
            </w:r>
          </w:p>
        </w:tc>
        <w:tc>
          <w:tcPr>
            <w:tcW w:w="1440" w:type="dxa"/>
          </w:tcPr>
          <w:p w:rsidR="007A4A12" w:rsidRPr="002A1283" w:rsidRDefault="007A4A12" w:rsidP="00D10700">
            <w:pPr>
              <w:spacing w:after="120" w:line="259" w:lineRule="auto"/>
              <w:rPr>
                <w:rFonts w:ascii="Garamond" w:hAnsi="Garamond" w:cs="Times New Roman"/>
                <w:sz w:val="24"/>
                <w:szCs w:val="20"/>
              </w:rPr>
            </w:pPr>
            <w:r>
              <w:rPr>
                <w:rFonts w:ascii="Garamond" w:hAnsi="Garamond" w:cs="Times New Roman"/>
                <w:sz w:val="24"/>
                <w:szCs w:val="20"/>
              </w:rPr>
              <w:t>30.3%</w:t>
            </w:r>
          </w:p>
        </w:tc>
      </w:tr>
    </w:tbl>
    <w:p w:rsidR="0010612D" w:rsidRDefault="0010612D" w:rsidP="00240833">
      <w:pPr>
        <w:spacing w:after="120"/>
        <w:rPr>
          <w:rFonts w:ascii="Garamond" w:hAnsi="Garamond" w:cs="Times New Roman"/>
          <w:sz w:val="24"/>
          <w:szCs w:val="20"/>
        </w:rPr>
      </w:pPr>
    </w:p>
    <w:p w:rsidR="00DB391A" w:rsidRDefault="0006023C" w:rsidP="00240833">
      <w:pPr>
        <w:spacing w:after="120"/>
        <w:rPr>
          <w:rFonts w:ascii="Garamond" w:hAnsi="Garamond" w:cs="Times New Roman"/>
          <w:sz w:val="24"/>
          <w:szCs w:val="20"/>
        </w:rPr>
      </w:pPr>
      <w:r>
        <w:rPr>
          <w:rFonts w:ascii="Garamond" w:hAnsi="Garamond" w:cs="Times New Roman"/>
          <w:sz w:val="24"/>
          <w:szCs w:val="20"/>
        </w:rPr>
        <w:t xml:space="preserve">While the data </w:t>
      </w:r>
      <w:r w:rsidR="009151D3">
        <w:rPr>
          <w:rFonts w:ascii="Garamond" w:hAnsi="Garamond" w:cs="Times New Roman"/>
          <w:sz w:val="24"/>
          <w:szCs w:val="20"/>
        </w:rPr>
        <w:t xml:space="preserve">above </w:t>
      </w:r>
      <w:r>
        <w:rPr>
          <w:rFonts w:ascii="Garamond" w:hAnsi="Garamond" w:cs="Times New Roman"/>
          <w:sz w:val="24"/>
          <w:szCs w:val="20"/>
        </w:rPr>
        <w:t xml:space="preserve">presents an overall picture of continuously-decreasing MSGs that </w:t>
      </w:r>
      <w:r w:rsidR="0012527E">
        <w:rPr>
          <w:rFonts w:ascii="Garamond" w:hAnsi="Garamond" w:cs="Times New Roman"/>
          <w:sz w:val="24"/>
          <w:szCs w:val="20"/>
        </w:rPr>
        <w:t xml:space="preserve">may yet </w:t>
      </w:r>
      <w:r>
        <w:rPr>
          <w:rFonts w:ascii="Garamond" w:hAnsi="Garamond" w:cs="Times New Roman"/>
          <w:sz w:val="24"/>
          <w:szCs w:val="20"/>
        </w:rPr>
        <w:t xml:space="preserve">highlight a need for further investigation, </w:t>
      </w:r>
      <w:r w:rsidRPr="00A35454">
        <w:rPr>
          <w:rFonts w:ascii="Garamond" w:hAnsi="Garamond" w:cs="Times New Roman"/>
          <w:sz w:val="24"/>
          <w:szCs w:val="20"/>
        </w:rPr>
        <w:t>if we examine</w:t>
      </w:r>
      <w:r w:rsidR="00DB391A" w:rsidRPr="00A35454">
        <w:rPr>
          <w:rFonts w:ascii="Garamond" w:hAnsi="Garamond" w:cs="Times New Roman"/>
          <w:sz w:val="24"/>
          <w:szCs w:val="20"/>
        </w:rPr>
        <w:t xml:space="preserve"> the performance of students who were pre and post tested (NRS Table 4b), New Mexico fares much better than </w:t>
      </w:r>
      <w:r w:rsidRPr="00A35454">
        <w:rPr>
          <w:rFonts w:ascii="Garamond" w:hAnsi="Garamond" w:cs="Times New Roman"/>
          <w:sz w:val="24"/>
          <w:szCs w:val="20"/>
        </w:rPr>
        <w:t>when</w:t>
      </w:r>
      <w:r w:rsidR="00446BF0" w:rsidRPr="00A35454">
        <w:rPr>
          <w:rFonts w:ascii="Garamond" w:hAnsi="Garamond" w:cs="Times New Roman"/>
          <w:sz w:val="24"/>
          <w:szCs w:val="20"/>
        </w:rPr>
        <w:t xml:space="preserve"> overall MSGs</w:t>
      </w:r>
      <w:r w:rsidRPr="00A35454">
        <w:rPr>
          <w:rFonts w:ascii="Garamond" w:hAnsi="Garamond" w:cs="Times New Roman"/>
          <w:sz w:val="24"/>
          <w:szCs w:val="20"/>
        </w:rPr>
        <w:t xml:space="preserve"> are considered in isolate</w:t>
      </w:r>
      <w:r w:rsidR="00144118">
        <w:rPr>
          <w:rFonts w:ascii="Garamond" w:hAnsi="Garamond" w:cs="Times New Roman"/>
          <w:sz w:val="24"/>
          <w:szCs w:val="20"/>
        </w:rPr>
        <w:t>.</w:t>
      </w:r>
      <w:r w:rsidR="003634EC">
        <w:rPr>
          <w:rFonts w:ascii="Garamond" w:hAnsi="Garamond" w:cs="Times New Roman"/>
          <w:sz w:val="24"/>
          <w:szCs w:val="20"/>
        </w:rPr>
        <w:t xml:space="preserve"> T</w:t>
      </w:r>
      <w:r w:rsidR="0012527E">
        <w:rPr>
          <w:rFonts w:ascii="Garamond" w:hAnsi="Garamond" w:cs="Times New Roman"/>
          <w:sz w:val="24"/>
          <w:szCs w:val="20"/>
        </w:rPr>
        <w:t>he</w:t>
      </w:r>
      <w:r w:rsidR="003634EC">
        <w:rPr>
          <w:rFonts w:ascii="Garamond" w:hAnsi="Garamond" w:cs="Times New Roman"/>
          <w:sz w:val="24"/>
          <w:szCs w:val="20"/>
        </w:rPr>
        <w:t xml:space="preserve"> data </w:t>
      </w:r>
      <w:r w:rsidR="008F2EBD">
        <w:rPr>
          <w:rFonts w:ascii="Garamond" w:hAnsi="Garamond" w:cs="Times New Roman"/>
          <w:sz w:val="24"/>
          <w:szCs w:val="20"/>
        </w:rPr>
        <w:t xml:space="preserve">below </w:t>
      </w:r>
      <w:r w:rsidR="003634EC">
        <w:rPr>
          <w:rFonts w:ascii="Garamond" w:hAnsi="Garamond" w:cs="Times New Roman"/>
          <w:sz w:val="24"/>
          <w:szCs w:val="20"/>
        </w:rPr>
        <w:t xml:space="preserve">tell us that increased focus on retention and </w:t>
      </w:r>
      <w:r w:rsidR="00A35454">
        <w:rPr>
          <w:rFonts w:ascii="Garamond" w:hAnsi="Garamond" w:cs="Times New Roman"/>
          <w:sz w:val="24"/>
          <w:szCs w:val="20"/>
        </w:rPr>
        <w:t>honing in on</w:t>
      </w:r>
      <w:r w:rsidR="003634EC">
        <w:rPr>
          <w:rFonts w:ascii="Garamond" w:hAnsi="Garamond" w:cs="Times New Roman"/>
          <w:sz w:val="24"/>
          <w:szCs w:val="20"/>
        </w:rPr>
        <w:t xml:space="preserve"> programmatic factors related to pre-and-post testing </w:t>
      </w:r>
      <w:r w:rsidR="0012527E">
        <w:rPr>
          <w:rFonts w:ascii="Garamond" w:hAnsi="Garamond" w:cs="Times New Roman"/>
          <w:sz w:val="24"/>
          <w:szCs w:val="20"/>
        </w:rPr>
        <w:t xml:space="preserve">rates </w:t>
      </w:r>
      <w:r w:rsidR="003634EC">
        <w:rPr>
          <w:rFonts w:ascii="Garamond" w:hAnsi="Garamond" w:cs="Times New Roman"/>
          <w:sz w:val="24"/>
          <w:szCs w:val="20"/>
        </w:rPr>
        <w:t xml:space="preserve">may be a ripe area for exploration and </w:t>
      </w:r>
      <w:r w:rsidR="00A35454">
        <w:rPr>
          <w:rFonts w:ascii="Garamond" w:hAnsi="Garamond" w:cs="Times New Roman"/>
          <w:sz w:val="24"/>
          <w:szCs w:val="20"/>
        </w:rPr>
        <w:t xml:space="preserve">targeted </w:t>
      </w:r>
      <w:r w:rsidR="003634EC">
        <w:rPr>
          <w:rFonts w:ascii="Garamond" w:hAnsi="Garamond" w:cs="Times New Roman"/>
          <w:sz w:val="24"/>
          <w:szCs w:val="20"/>
        </w:rPr>
        <w:t xml:space="preserve">modifications to help New Mexico </w:t>
      </w:r>
      <w:r>
        <w:rPr>
          <w:rFonts w:ascii="Garamond" w:hAnsi="Garamond" w:cs="Times New Roman"/>
          <w:sz w:val="24"/>
          <w:szCs w:val="20"/>
        </w:rPr>
        <w:t>reverse overall</w:t>
      </w:r>
      <w:r w:rsidR="003634EC">
        <w:rPr>
          <w:rFonts w:ascii="Garamond" w:hAnsi="Garamond" w:cs="Times New Roman"/>
          <w:sz w:val="24"/>
          <w:szCs w:val="20"/>
        </w:rPr>
        <w:t xml:space="preserve"> MSGs</w:t>
      </w:r>
      <w:r>
        <w:rPr>
          <w:rFonts w:ascii="Garamond" w:hAnsi="Garamond" w:cs="Times New Roman"/>
          <w:sz w:val="24"/>
          <w:szCs w:val="20"/>
        </w:rPr>
        <w:t xml:space="preserve"> trends that seem to be moving in the wrong direction</w:t>
      </w:r>
      <w:r w:rsidR="00A35454">
        <w:rPr>
          <w:rFonts w:ascii="Garamond" w:hAnsi="Garamond" w:cs="Times New Roman"/>
          <w:sz w:val="24"/>
          <w:szCs w:val="20"/>
        </w:rPr>
        <w:t>.</w:t>
      </w:r>
    </w:p>
    <w:p w:rsidR="0072721D" w:rsidRPr="008444BC" w:rsidRDefault="00767BEC" w:rsidP="00240833">
      <w:pPr>
        <w:spacing w:after="120"/>
        <w:rPr>
          <w:rFonts w:ascii="Garamond" w:hAnsi="Garamond" w:cs="Times New Roman"/>
          <w:b/>
          <w:sz w:val="24"/>
          <w:szCs w:val="20"/>
        </w:rPr>
      </w:pPr>
      <w:r w:rsidRPr="008444BC">
        <w:rPr>
          <w:rFonts w:ascii="Garamond" w:hAnsi="Garamond" w:cs="Times New Roman"/>
          <w:b/>
          <w:sz w:val="24"/>
          <w:szCs w:val="20"/>
        </w:rPr>
        <w:t xml:space="preserve">EFL Gains for </w:t>
      </w:r>
      <w:r w:rsidR="00D368D6" w:rsidRPr="008444BC">
        <w:rPr>
          <w:rFonts w:ascii="Garamond" w:hAnsi="Garamond" w:cs="Times New Roman"/>
          <w:b/>
          <w:sz w:val="24"/>
          <w:szCs w:val="20"/>
        </w:rPr>
        <w:t>Pre</w:t>
      </w:r>
      <w:r w:rsidR="00D368D6">
        <w:rPr>
          <w:rFonts w:ascii="Garamond" w:hAnsi="Garamond" w:cs="Times New Roman"/>
          <w:b/>
          <w:sz w:val="24"/>
          <w:szCs w:val="20"/>
        </w:rPr>
        <w:t>-&amp;</w:t>
      </w:r>
      <w:r w:rsidRPr="008444BC">
        <w:rPr>
          <w:rFonts w:ascii="Garamond" w:hAnsi="Garamond" w:cs="Times New Roman"/>
          <w:b/>
          <w:sz w:val="24"/>
          <w:szCs w:val="20"/>
        </w:rPr>
        <w:t xml:space="preserve"> Post</w:t>
      </w:r>
      <w:r w:rsidR="00D368D6">
        <w:rPr>
          <w:rFonts w:ascii="Garamond" w:hAnsi="Garamond" w:cs="Times New Roman"/>
          <w:b/>
          <w:sz w:val="24"/>
          <w:szCs w:val="20"/>
        </w:rPr>
        <w:t>-</w:t>
      </w:r>
      <w:r w:rsidRPr="008444BC">
        <w:rPr>
          <w:rFonts w:ascii="Garamond" w:hAnsi="Garamond" w:cs="Times New Roman"/>
          <w:b/>
          <w:sz w:val="24"/>
          <w:szCs w:val="20"/>
        </w:rPr>
        <w:t>Tested Individuals</w:t>
      </w:r>
      <w:r w:rsidR="0072721D" w:rsidRPr="008444BC">
        <w:rPr>
          <w:rFonts w:ascii="Garamond" w:hAnsi="Garamond" w:cs="Times New Roman"/>
          <w:b/>
          <w:sz w:val="24"/>
          <w:szCs w:val="20"/>
        </w:rPr>
        <w:t xml:space="preserve"> (Table 4b):</w:t>
      </w:r>
    </w:p>
    <w:tbl>
      <w:tblPr>
        <w:tblStyle w:val="TableGrid"/>
        <w:tblW w:w="0" w:type="auto"/>
        <w:tblLayout w:type="fixed"/>
        <w:tblLook w:val="04A0" w:firstRow="1" w:lastRow="0" w:firstColumn="1" w:lastColumn="0" w:noHBand="0" w:noVBand="1"/>
      </w:tblPr>
      <w:tblGrid>
        <w:gridCol w:w="1336"/>
        <w:gridCol w:w="909"/>
        <w:gridCol w:w="810"/>
        <w:gridCol w:w="810"/>
        <w:gridCol w:w="900"/>
        <w:gridCol w:w="810"/>
        <w:gridCol w:w="810"/>
        <w:gridCol w:w="1440"/>
      </w:tblGrid>
      <w:tr w:rsidR="00767BEC" w:rsidRPr="002A1283" w:rsidTr="00D10700">
        <w:trPr>
          <w:trHeight w:val="290"/>
        </w:trPr>
        <w:tc>
          <w:tcPr>
            <w:tcW w:w="1336" w:type="dxa"/>
            <w:noWrap/>
            <w:hideMark/>
          </w:tcPr>
          <w:p w:rsidR="00767BEC" w:rsidRPr="002A1283" w:rsidRDefault="00767BEC" w:rsidP="00D10700">
            <w:pPr>
              <w:spacing w:after="120" w:line="259" w:lineRule="auto"/>
              <w:rPr>
                <w:rFonts w:ascii="Garamond" w:hAnsi="Garamond" w:cs="Times New Roman"/>
                <w:b/>
                <w:bCs/>
                <w:sz w:val="24"/>
                <w:szCs w:val="20"/>
              </w:rPr>
            </w:pPr>
            <w:r w:rsidRPr="002A1283">
              <w:rPr>
                <w:rFonts w:ascii="Garamond" w:hAnsi="Garamond" w:cs="Times New Roman"/>
                <w:b/>
                <w:bCs/>
                <w:sz w:val="24"/>
                <w:szCs w:val="20"/>
              </w:rPr>
              <w:t>Program Year</w:t>
            </w:r>
          </w:p>
        </w:tc>
        <w:tc>
          <w:tcPr>
            <w:tcW w:w="909" w:type="dxa"/>
            <w:noWrap/>
            <w:hideMark/>
          </w:tcPr>
          <w:p w:rsidR="00767BEC" w:rsidRPr="002A1283" w:rsidRDefault="00767BEC" w:rsidP="00D10700">
            <w:pPr>
              <w:spacing w:after="120" w:line="259" w:lineRule="auto"/>
              <w:rPr>
                <w:rFonts w:ascii="Garamond" w:hAnsi="Garamond" w:cs="Times New Roman"/>
                <w:b/>
                <w:bCs/>
                <w:sz w:val="24"/>
                <w:szCs w:val="20"/>
              </w:rPr>
            </w:pPr>
            <w:r>
              <w:rPr>
                <w:rFonts w:ascii="Garamond" w:hAnsi="Garamond" w:cs="Times New Roman"/>
                <w:b/>
                <w:bCs/>
                <w:sz w:val="24"/>
                <w:szCs w:val="20"/>
              </w:rPr>
              <w:t>ABE Level 1</w:t>
            </w:r>
          </w:p>
        </w:tc>
        <w:tc>
          <w:tcPr>
            <w:tcW w:w="810" w:type="dxa"/>
          </w:tcPr>
          <w:p w:rsidR="00767BEC" w:rsidRPr="002A1283" w:rsidRDefault="00767BEC" w:rsidP="00D10700">
            <w:pPr>
              <w:spacing w:after="120"/>
              <w:rPr>
                <w:rFonts w:ascii="Garamond" w:hAnsi="Garamond" w:cs="Times New Roman"/>
                <w:b/>
                <w:bCs/>
                <w:sz w:val="24"/>
                <w:szCs w:val="20"/>
              </w:rPr>
            </w:pPr>
            <w:r>
              <w:rPr>
                <w:rFonts w:ascii="Garamond" w:hAnsi="Garamond" w:cs="Times New Roman"/>
                <w:b/>
                <w:bCs/>
                <w:sz w:val="24"/>
                <w:szCs w:val="20"/>
              </w:rPr>
              <w:t>ABE Level 2</w:t>
            </w:r>
          </w:p>
        </w:tc>
        <w:tc>
          <w:tcPr>
            <w:tcW w:w="810" w:type="dxa"/>
            <w:noWrap/>
            <w:hideMark/>
          </w:tcPr>
          <w:p w:rsidR="00767BEC" w:rsidRPr="002A1283" w:rsidRDefault="00767BEC" w:rsidP="00D10700">
            <w:pPr>
              <w:spacing w:after="120" w:line="259" w:lineRule="auto"/>
              <w:rPr>
                <w:rFonts w:ascii="Garamond" w:hAnsi="Garamond" w:cs="Times New Roman"/>
                <w:b/>
                <w:bCs/>
                <w:sz w:val="24"/>
                <w:szCs w:val="20"/>
              </w:rPr>
            </w:pPr>
            <w:r>
              <w:rPr>
                <w:rFonts w:ascii="Garamond" w:hAnsi="Garamond" w:cs="Times New Roman"/>
                <w:b/>
                <w:bCs/>
                <w:sz w:val="24"/>
                <w:szCs w:val="20"/>
              </w:rPr>
              <w:t>ABE Level 3</w:t>
            </w:r>
          </w:p>
        </w:tc>
        <w:tc>
          <w:tcPr>
            <w:tcW w:w="900" w:type="dxa"/>
          </w:tcPr>
          <w:p w:rsidR="00767BEC" w:rsidRPr="002A1283" w:rsidRDefault="00767BEC" w:rsidP="00D10700">
            <w:pPr>
              <w:spacing w:after="120"/>
              <w:rPr>
                <w:rFonts w:ascii="Garamond" w:hAnsi="Garamond" w:cs="Times New Roman"/>
                <w:b/>
                <w:bCs/>
                <w:sz w:val="24"/>
                <w:szCs w:val="20"/>
              </w:rPr>
            </w:pPr>
            <w:r>
              <w:rPr>
                <w:rFonts w:ascii="Garamond" w:hAnsi="Garamond" w:cs="Times New Roman"/>
                <w:b/>
                <w:bCs/>
                <w:sz w:val="24"/>
                <w:szCs w:val="20"/>
              </w:rPr>
              <w:t>ABE Level 4</w:t>
            </w:r>
          </w:p>
        </w:tc>
        <w:tc>
          <w:tcPr>
            <w:tcW w:w="810" w:type="dxa"/>
            <w:noWrap/>
            <w:hideMark/>
          </w:tcPr>
          <w:p w:rsidR="00767BEC" w:rsidRPr="002A1283" w:rsidRDefault="00767BEC" w:rsidP="00D10700">
            <w:pPr>
              <w:spacing w:after="120" w:line="259" w:lineRule="auto"/>
              <w:rPr>
                <w:rFonts w:ascii="Garamond" w:hAnsi="Garamond" w:cs="Times New Roman"/>
                <w:b/>
                <w:bCs/>
                <w:sz w:val="24"/>
                <w:szCs w:val="20"/>
              </w:rPr>
            </w:pPr>
            <w:r>
              <w:rPr>
                <w:rFonts w:ascii="Garamond" w:hAnsi="Garamond" w:cs="Times New Roman"/>
                <w:b/>
                <w:bCs/>
                <w:sz w:val="24"/>
                <w:szCs w:val="20"/>
              </w:rPr>
              <w:t>ABE Level 5</w:t>
            </w:r>
          </w:p>
        </w:tc>
        <w:tc>
          <w:tcPr>
            <w:tcW w:w="810" w:type="dxa"/>
            <w:noWrap/>
            <w:hideMark/>
          </w:tcPr>
          <w:p w:rsidR="00767BEC" w:rsidRPr="002A1283" w:rsidRDefault="00767BEC" w:rsidP="00D10700">
            <w:pPr>
              <w:spacing w:after="120" w:line="259" w:lineRule="auto"/>
              <w:rPr>
                <w:rFonts w:ascii="Garamond" w:hAnsi="Garamond" w:cs="Times New Roman"/>
                <w:b/>
                <w:bCs/>
                <w:sz w:val="24"/>
                <w:szCs w:val="20"/>
              </w:rPr>
            </w:pPr>
            <w:r w:rsidRPr="002A1283">
              <w:rPr>
                <w:rFonts w:ascii="Garamond" w:hAnsi="Garamond" w:cs="Times New Roman"/>
                <w:b/>
                <w:bCs/>
                <w:sz w:val="24"/>
                <w:szCs w:val="20"/>
              </w:rPr>
              <w:t>ESL</w:t>
            </w:r>
          </w:p>
        </w:tc>
        <w:tc>
          <w:tcPr>
            <w:tcW w:w="1440" w:type="dxa"/>
            <w:noWrap/>
            <w:hideMark/>
          </w:tcPr>
          <w:p w:rsidR="00767BEC" w:rsidRPr="002A1283" w:rsidRDefault="00767BEC" w:rsidP="00D10700">
            <w:pPr>
              <w:spacing w:after="120" w:line="259" w:lineRule="auto"/>
              <w:rPr>
                <w:rFonts w:ascii="Garamond" w:hAnsi="Garamond" w:cs="Times New Roman"/>
                <w:b/>
                <w:bCs/>
                <w:sz w:val="24"/>
                <w:szCs w:val="20"/>
              </w:rPr>
            </w:pPr>
            <w:r>
              <w:rPr>
                <w:rFonts w:ascii="Garamond" w:hAnsi="Garamond" w:cs="Times New Roman"/>
                <w:b/>
                <w:bCs/>
                <w:sz w:val="24"/>
                <w:szCs w:val="20"/>
              </w:rPr>
              <w:t>% Achieving EFL Gain</w:t>
            </w:r>
          </w:p>
        </w:tc>
      </w:tr>
      <w:tr w:rsidR="00767BEC" w:rsidRPr="002A1283" w:rsidTr="00D10700">
        <w:trPr>
          <w:trHeight w:val="290"/>
        </w:trPr>
        <w:tc>
          <w:tcPr>
            <w:tcW w:w="1336" w:type="dxa"/>
            <w:hideMark/>
          </w:tcPr>
          <w:p w:rsidR="00767BEC" w:rsidRPr="002A1283" w:rsidRDefault="008B22DC" w:rsidP="00D10700">
            <w:pPr>
              <w:spacing w:after="120" w:line="259" w:lineRule="auto"/>
              <w:rPr>
                <w:rFonts w:ascii="Garamond" w:hAnsi="Garamond" w:cs="Times New Roman"/>
                <w:sz w:val="24"/>
                <w:szCs w:val="20"/>
              </w:rPr>
            </w:pPr>
            <w:r>
              <w:rPr>
                <w:rFonts w:ascii="Garamond" w:hAnsi="Garamond" w:cs="Times New Roman"/>
                <w:sz w:val="24"/>
                <w:szCs w:val="20"/>
              </w:rPr>
              <w:t>P</w:t>
            </w:r>
            <w:r w:rsidR="00767BEC" w:rsidRPr="002A1283">
              <w:rPr>
                <w:rFonts w:ascii="Garamond" w:hAnsi="Garamond" w:cs="Times New Roman"/>
                <w:sz w:val="24"/>
                <w:szCs w:val="20"/>
              </w:rPr>
              <w:t>Y 16/17</w:t>
            </w:r>
          </w:p>
        </w:tc>
        <w:tc>
          <w:tcPr>
            <w:tcW w:w="909"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84.3%</w:t>
            </w:r>
          </w:p>
        </w:tc>
        <w:tc>
          <w:tcPr>
            <w:tcW w:w="81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72.4%</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62.3%</w:t>
            </w:r>
          </w:p>
        </w:tc>
        <w:tc>
          <w:tcPr>
            <w:tcW w:w="90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53.4%</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53.2%</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56.9%</w:t>
            </w:r>
          </w:p>
        </w:tc>
        <w:tc>
          <w:tcPr>
            <w:tcW w:w="144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60.3%</w:t>
            </w:r>
          </w:p>
        </w:tc>
      </w:tr>
      <w:tr w:rsidR="00767BEC" w:rsidRPr="002A1283" w:rsidTr="00D10700">
        <w:trPr>
          <w:trHeight w:val="290"/>
        </w:trPr>
        <w:tc>
          <w:tcPr>
            <w:tcW w:w="1336" w:type="dxa"/>
            <w:hideMark/>
          </w:tcPr>
          <w:p w:rsidR="00767BEC" w:rsidRPr="002A1283" w:rsidRDefault="008B22DC" w:rsidP="00D10700">
            <w:pPr>
              <w:spacing w:after="120" w:line="259" w:lineRule="auto"/>
              <w:rPr>
                <w:rFonts w:ascii="Garamond" w:hAnsi="Garamond" w:cs="Times New Roman"/>
                <w:sz w:val="24"/>
                <w:szCs w:val="20"/>
              </w:rPr>
            </w:pPr>
            <w:r>
              <w:rPr>
                <w:rFonts w:ascii="Garamond" w:hAnsi="Garamond" w:cs="Times New Roman"/>
                <w:sz w:val="24"/>
                <w:szCs w:val="20"/>
              </w:rPr>
              <w:t>P</w:t>
            </w:r>
            <w:r w:rsidR="00767BEC" w:rsidRPr="002A1283">
              <w:rPr>
                <w:rFonts w:ascii="Garamond" w:hAnsi="Garamond" w:cs="Times New Roman"/>
                <w:sz w:val="24"/>
                <w:szCs w:val="20"/>
              </w:rPr>
              <w:t>Y 17/18</w:t>
            </w:r>
          </w:p>
        </w:tc>
        <w:tc>
          <w:tcPr>
            <w:tcW w:w="909"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81.2%</w:t>
            </w:r>
          </w:p>
        </w:tc>
        <w:tc>
          <w:tcPr>
            <w:tcW w:w="81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80.2%</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76.6%</w:t>
            </w:r>
          </w:p>
        </w:tc>
        <w:tc>
          <w:tcPr>
            <w:tcW w:w="90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63.3%</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65.5%</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60.6%</w:t>
            </w:r>
          </w:p>
        </w:tc>
        <w:tc>
          <w:tcPr>
            <w:tcW w:w="144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68.4%</w:t>
            </w:r>
          </w:p>
        </w:tc>
      </w:tr>
      <w:tr w:rsidR="00767BEC" w:rsidRPr="002A1283" w:rsidTr="00D10700">
        <w:trPr>
          <w:trHeight w:val="290"/>
        </w:trPr>
        <w:tc>
          <w:tcPr>
            <w:tcW w:w="1336" w:type="dxa"/>
          </w:tcPr>
          <w:p w:rsidR="00767BEC" w:rsidRPr="002A1283" w:rsidRDefault="008B22DC" w:rsidP="00D10700">
            <w:pPr>
              <w:spacing w:after="120" w:line="259" w:lineRule="auto"/>
              <w:rPr>
                <w:rFonts w:ascii="Garamond" w:hAnsi="Garamond" w:cs="Times New Roman"/>
                <w:sz w:val="24"/>
                <w:szCs w:val="20"/>
              </w:rPr>
            </w:pPr>
            <w:r>
              <w:rPr>
                <w:rFonts w:ascii="Garamond" w:hAnsi="Garamond" w:cs="Times New Roman"/>
                <w:sz w:val="24"/>
                <w:szCs w:val="20"/>
              </w:rPr>
              <w:t>P</w:t>
            </w:r>
            <w:r w:rsidR="00767BEC" w:rsidRPr="002A1283">
              <w:rPr>
                <w:rFonts w:ascii="Garamond" w:hAnsi="Garamond" w:cs="Times New Roman"/>
                <w:sz w:val="24"/>
                <w:szCs w:val="20"/>
              </w:rPr>
              <w:t>Y 18/19</w:t>
            </w:r>
          </w:p>
        </w:tc>
        <w:tc>
          <w:tcPr>
            <w:tcW w:w="909"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73.2%</w:t>
            </w:r>
          </w:p>
        </w:tc>
        <w:tc>
          <w:tcPr>
            <w:tcW w:w="81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67.7%</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52.3%</w:t>
            </w:r>
          </w:p>
        </w:tc>
        <w:tc>
          <w:tcPr>
            <w:tcW w:w="90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36.4%</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39%</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60.9%</w:t>
            </w:r>
          </w:p>
        </w:tc>
        <w:tc>
          <w:tcPr>
            <w:tcW w:w="144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58.3%</w:t>
            </w:r>
          </w:p>
        </w:tc>
      </w:tr>
      <w:tr w:rsidR="00767BEC" w:rsidRPr="002A1283" w:rsidTr="00D10700">
        <w:trPr>
          <w:trHeight w:val="290"/>
        </w:trPr>
        <w:tc>
          <w:tcPr>
            <w:tcW w:w="1336" w:type="dxa"/>
          </w:tcPr>
          <w:p w:rsidR="00767BEC" w:rsidRPr="002A1283" w:rsidRDefault="008B22DC" w:rsidP="00D10700">
            <w:pPr>
              <w:spacing w:after="120" w:line="259" w:lineRule="auto"/>
              <w:rPr>
                <w:rFonts w:ascii="Garamond" w:hAnsi="Garamond" w:cs="Times New Roman"/>
                <w:sz w:val="24"/>
                <w:szCs w:val="20"/>
              </w:rPr>
            </w:pPr>
            <w:r>
              <w:rPr>
                <w:rFonts w:ascii="Garamond" w:hAnsi="Garamond" w:cs="Times New Roman"/>
                <w:sz w:val="24"/>
                <w:szCs w:val="20"/>
              </w:rPr>
              <w:t>P</w:t>
            </w:r>
            <w:r w:rsidR="00767BEC" w:rsidRPr="002A1283">
              <w:rPr>
                <w:rFonts w:ascii="Garamond" w:hAnsi="Garamond" w:cs="Times New Roman"/>
                <w:sz w:val="24"/>
                <w:szCs w:val="20"/>
              </w:rPr>
              <w:t>Y 19/20</w:t>
            </w:r>
          </w:p>
        </w:tc>
        <w:tc>
          <w:tcPr>
            <w:tcW w:w="909"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67.7%</w:t>
            </w:r>
          </w:p>
        </w:tc>
        <w:tc>
          <w:tcPr>
            <w:tcW w:w="81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61.7%</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50.5%</w:t>
            </w:r>
          </w:p>
        </w:tc>
        <w:tc>
          <w:tcPr>
            <w:tcW w:w="900" w:type="dxa"/>
          </w:tcPr>
          <w:p w:rsidR="00767BEC" w:rsidRPr="002A1283" w:rsidRDefault="00767BEC" w:rsidP="00D10700">
            <w:pPr>
              <w:spacing w:after="120"/>
              <w:rPr>
                <w:rFonts w:ascii="Garamond" w:hAnsi="Garamond" w:cs="Times New Roman"/>
                <w:sz w:val="24"/>
                <w:szCs w:val="20"/>
              </w:rPr>
            </w:pPr>
            <w:r>
              <w:rPr>
                <w:rFonts w:ascii="Garamond" w:hAnsi="Garamond" w:cs="Times New Roman"/>
                <w:sz w:val="24"/>
                <w:szCs w:val="20"/>
              </w:rPr>
              <w:t>44.3%</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35.5%</w:t>
            </w:r>
          </w:p>
        </w:tc>
        <w:tc>
          <w:tcPr>
            <w:tcW w:w="81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59.7%</w:t>
            </w:r>
          </w:p>
        </w:tc>
        <w:tc>
          <w:tcPr>
            <w:tcW w:w="1440" w:type="dxa"/>
          </w:tcPr>
          <w:p w:rsidR="00767BEC" w:rsidRPr="002A1283" w:rsidRDefault="00767BEC" w:rsidP="00D10700">
            <w:pPr>
              <w:spacing w:after="120" w:line="259" w:lineRule="auto"/>
              <w:rPr>
                <w:rFonts w:ascii="Garamond" w:hAnsi="Garamond" w:cs="Times New Roman"/>
                <w:sz w:val="24"/>
                <w:szCs w:val="20"/>
              </w:rPr>
            </w:pPr>
            <w:r>
              <w:rPr>
                <w:rFonts w:ascii="Garamond" w:hAnsi="Garamond" w:cs="Times New Roman"/>
                <w:sz w:val="24"/>
                <w:szCs w:val="20"/>
              </w:rPr>
              <w:t>56.4%</w:t>
            </w:r>
          </w:p>
        </w:tc>
      </w:tr>
    </w:tbl>
    <w:p w:rsidR="00B3020F" w:rsidRDefault="00240833" w:rsidP="00DD6327">
      <w:pPr>
        <w:spacing w:after="120"/>
        <w:rPr>
          <w:rFonts w:ascii="Garamond" w:hAnsi="Garamond" w:cs="Times New Roman"/>
          <w:b/>
          <w:sz w:val="24"/>
          <w:szCs w:val="20"/>
        </w:rPr>
      </w:pPr>
      <w:r w:rsidRPr="00137EC7">
        <w:rPr>
          <w:rFonts w:ascii="Garamond" w:hAnsi="Garamond" w:cs="Times New Roman"/>
          <w:b/>
          <w:sz w:val="24"/>
          <w:szCs w:val="20"/>
        </w:rPr>
        <w:lastRenderedPageBreak/>
        <w:t xml:space="preserve">Discuss how </w:t>
      </w:r>
      <w:r w:rsidR="002B7E63" w:rsidRPr="00137EC7">
        <w:rPr>
          <w:rFonts w:ascii="Garamond" w:hAnsi="Garamond" w:cs="Times New Roman"/>
          <w:b/>
          <w:sz w:val="24"/>
          <w:szCs w:val="20"/>
        </w:rPr>
        <w:t>core program performance</w:t>
      </w:r>
      <w:r w:rsidRPr="00137EC7">
        <w:rPr>
          <w:rFonts w:ascii="Garamond" w:hAnsi="Garamond" w:cs="Times New Roman"/>
          <w:b/>
          <w:sz w:val="24"/>
          <w:szCs w:val="20"/>
        </w:rPr>
        <w:t xml:space="preserve"> assessment was used to improve quality and effectiveness of the funded eligible providers and any plans to further increase performance in future reporting years.</w:t>
      </w:r>
      <w:r w:rsidR="00B10BFF" w:rsidRPr="00B10BFF">
        <w:rPr>
          <w:rFonts w:ascii="Garamond" w:hAnsi="Garamond" w:cs="Times New Roman"/>
          <w:b/>
          <w:sz w:val="24"/>
          <w:szCs w:val="20"/>
        </w:rPr>
        <w:t xml:space="preserve">  </w:t>
      </w:r>
    </w:p>
    <w:p w:rsidR="00B10BFF" w:rsidRDefault="0010612D" w:rsidP="00DD6327">
      <w:pPr>
        <w:spacing w:after="120"/>
        <w:rPr>
          <w:rFonts w:ascii="Garamond" w:hAnsi="Garamond" w:cs="Times New Roman"/>
          <w:b/>
          <w:sz w:val="24"/>
          <w:szCs w:val="20"/>
          <w:u w:val="single"/>
        </w:rPr>
      </w:pPr>
      <w:r>
        <w:rPr>
          <w:rFonts w:ascii="Garamond" w:hAnsi="Garamond" w:cs="Times New Roman"/>
          <w:sz w:val="24"/>
          <w:szCs w:val="20"/>
        </w:rPr>
        <w:t>The following is</w:t>
      </w:r>
      <w:r w:rsidR="00A65D18">
        <w:rPr>
          <w:rFonts w:ascii="Garamond" w:hAnsi="Garamond" w:cs="Times New Roman"/>
          <w:sz w:val="24"/>
          <w:szCs w:val="20"/>
        </w:rPr>
        <w:t xml:space="preserve"> a summary list of plans to further increase performance in future reporting years, since several large and related activities are </w:t>
      </w:r>
      <w:r w:rsidR="007F1B4F">
        <w:rPr>
          <w:rFonts w:ascii="Garamond" w:hAnsi="Garamond" w:cs="Times New Roman"/>
          <w:sz w:val="24"/>
          <w:szCs w:val="20"/>
        </w:rPr>
        <w:t>underway</w:t>
      </w:r>
      <w:r w:rsidR="00A65D18">
        <w:rPr>
          <w:rFonts w:ascii="Garamond" w:hAnsi="Garamond" w:cs="Times New Roman"/>
          <w:sz w:val="24"/>
          <w:szCs w:val="20"/>
        </w:rPr>
        <w:t xml:space="preserve">:  (1)  Planned activation of a state-office led data analysis and action planning </w:t>
      </w:r>
      <w:r w:rsidR="00F8708C">
        <w:rPr>
          <w:rFonts w:ascii="Garamond" w:hAnsi="Garamond" w:cs="Times New Roman"/>
          <w:sz w:val="24"/>
          <w:szCs w:val="20"/>
        </w:rPr>
        <w:t>work group</w:t>
      </w:r>
      <w:r w:rsidR="00B10BFF">
        <w:rPr>
          <w:rFonts w:ascii="Garamond" w:hAnsi="Garamond" w:cs="Times New Roman"/>
          <w:sz w:val="24"/>
          <w:szCs w:val="20"/>
        </w:rPr>
        <w:t xml:space="preserve"> and required data sharing sessions during director meetings</w:t>
      </w:r>
      <w:r w:rsidR="00F8708C">
        <w:rPr>
          <w:rFonts w:ascii="Garamond" w:hAnsi="Garamond" w:cs="Times New Roman"/>
          <w:sz w:val="24"/>
          <w:szCs w:val="20"/>
        </w:rPr>
        <w:t>;</w:t>
      </w:r>
      <w:r w:rsidR="00A65D18">
        <w:rPr>
          <w:rFonts w:ascii="Garamond" w:hAnsi="Garamond" w:cs="Times New Roman"/>
          <w:sz w:val="24"/>
          <w:szCs w:val="20"/>
        </w:rPr>
        <w:t xml:space="preserve"> (2) Improved quality and frequency of site visits via a new </w:t>
      </w:r>
      <w:r w:rsidR="00B10BFF">
        <w:rPr>
          <w:rFonts w:ascii="Garamond" w:hAnsi="Garamond" w:cs="Times New Roman"/>
          <w:sz w:val="24"/>
          <w:szCs w:val="20"/>
        </w:rPr>
        <w:t>virtual/</w:t>
      </w:r>
      <w:r w:rsidR="00A65D18">
        <w:rPr>
          <w:rFonts w:ascii="Garamond" w:hAnsi="Garamond" w:cs="Times New Roman"/>
          <w:sz w:val="24"/>
          <w:szCs w:val="20"/>
        </w:rPr>
        <w:t xml:space="preserve">hybrid process, </w:t>
      </w:r>
      <w:r w:rsidR="00F8708C">
        <w:rPr>
          <w:rFonts w:ascii="Garamond" w:hAnsi="Garamond" w:cs="Times New Roman"/>
          <w:sz w:val="24"/>
          <w:szCs w:val="20"/>
        </w:rPr>
        <w:t xml:space="preserve">including strengthened front-end preparation activities and enhanced back-end follow up; </w:t>
      </w:r>
      <w:r w:rsidR="00A65D18">
        <w:rPr>
          <w:rFonts w:ascii="Garamond" w:hAnsi="Garamond" w:cs="Times New Roman"/>
          <w:sz w:val="24"/>
          <w:szCs w:val="20"/>
        </w:rPr>
        <w:t xml:space="preserve">(3) Improved TA </w:t>
      </w:r>
      <w:r w:rsidR="00B10BFF">
        <w:rPr>
          <w:rFonts w:ascii="Garamond" w:hAnsi="Garamond" w:cs="Times New Roman"/>
          <w:sz w:val="24"/>
          <w:szCs w:val="20"/>
        </w:rPr>
        <w:t>via heightened quality of written guidance and expansion of channels,</w:t>
      </w:r>
      <w:r w:rsidR="00F8708C">
        <w:rPr>
          <w:rFonts w:ascii="Garamond" w:hAnsi="Garamond" w:cs="Times New Roman"/>
          <w:sz w:val="24"/>
          <w:szCs w:val="20"/>
        </w:rPr>
        <w:t xml:space="preserve"> and related; </w:t>
      </w:r>
      <w:r w:rsidR="00B10BFF">
        <w:rPr>
          <w:rFonts w:ascii="Garamond" w:hAnsi="Garamond" w:cs="Times New Roman"/>
          <w:sz w:val="24"/>
          <w:szCs w:val="20"/>
        </w:rPr>
        <w:t xml:space="preserve">(4)  Improved PD via the development of a highly effective state-sponsored PD system, including a central PD portal, (5)  Targeted outreach and expanded ATB/IET models and efforts to improve </w:t>
      </w:r>
      <w:r w:rsidR="007F1B4F">
        <w:rPr>
          <w:rFonts w:ascii="Garamond" w:hAnsi="Garamond" w:cs="Times New Roman"/>
          <w:sz w:val="24"/>
          <w:szCs w:val="20"/>
        </w:rPr>
        <w:t xml:space="preserve">local program </w:t>
      </w:r>
      <w:r w:rsidR="00B10BFF">
        <w:rPr>
          <w:rFonts w:ascii="Garamond" w:hAnsi="Garamond" w:cs="Times New Roman"/>
          <w:sz w:val="24"/>
          <w:szCs w:val="20"/>
        </w:rPr>
        <w:t>enrollment and retention</w:t>
      </w:r>
      <w:r w:rsidR="00F8708C">
        <w:rPr>
          <w:rFonts w:ascii="Garamond" w:hAnsi="Garamond" w:cs="Times New Roman"/>
          <w:sz w:val="24"/>
          <w:szCs w:val="20"/>
        </w:rPr>
        <w:t>;</w:t>
      </w:r>
      <w:r w:rsidR="00B10BFF">
        <w:rPr>
          <w:rFonts w:ascii="Garamond" w:hAnsi="Garamond" w:cs="Times New Roman"/>
          <w:sz w:val="24"/>
          <w:szCs w:val="20"/>
        </w:rPr>
        <w:t xml:space="preserve"> (6) </w:t>
      </w:r>
      <w:r w:rsidR="00F8708C">
        <w:rPr>
          <w:rFonts w:ascii="Garamond" w:hAnsi="Garamond" w:cs="Times New Roman"/>
          <w:sz w:val="24"/>
          <w:szCs w:val="20"/>
        </w:rPr>
        <w:t>U</w:t>
      </w:r>
      <w:r w:rsidR="00B10BFF">
        <w:rPr>
          <w:rFonts w:ascii="Garamond" w:hAnsi="Garamond" w:cs="Times New Roman"/>
          <w:sz w:val="24"/>
          <w:szCs w:val="20"/>
        </w:rPr>
        <w:t xml:space="preserve">pcoming state office leadership transition to help guide and support </w:t>
      </w:r>
      <w:r w:rsidR="00F8708C">
        <w:rPr>
          <w:rFonts w:ascii="Garamond" w:hAnsi="Garamond" w:cs="Times New Roman"/>
          <w:sz w:val="24"/>
          <w:szCs w:val="20"/>
        </w:rPr>
        <w:t>new and ongoing</w:t>
      </w:r>
      <w:r w:rsidR="00B10BFF">
        <w:rPr>
          <w:rFonts w:ascii="Garamond" w:hAnsi="Garamond" w:cs="Times New Roman"/>
          <w:sz w:val="24"/>
          <w:szCs w:val="20"/>
        </w:rPr>
        <w:t xml:space="preserve"> efforts</w:t>
      </w:r>
      <w:r w:rsidR="000F14BC">
        <w:rPr>
          <w:rFonts w:ascii="Garamond" w:hAnsi="Garamond" w:cs="Times New Roman"/>
          <w:sz w:val="24"/>
          <w:szCs w:val="20"/>
        </w:rPr>
        <w:t>, including</w:t>
      </w:r>
      <w:r w:rsidR="00F8708C">
        <w:rPr>
          <w:rFonts w:ascii="Garamond" w:hAnsi="Garamond" w:cs="Times New Roman"/>
          <w:sz w:val="24"/>
          <w:szCs w:val="20"/>
        </w:rPr>
        <w:t>;</w:t>
      </w:r>
      <w:r w:rsidR="000F14BC">
        <w:rPr>
          <w:rFonts w:ascii="Garamond" w:hAnsi="Garamond" w:cs="Times New Roman"/>
          <w:sz w:val="24"/>
          <w:szCs w:val="20"/>
        </w:rPr>
        <w:t xml:space="preserve"> (7)  The creation of a new funding formula to incentivize key desired behaviors </w:t>
      </w:r>
      <w:r w:rsidR="002046D9">
        <w:rPr>
          <w:rFonts w:ascii="Garamond" w:hAnsi="Garamond" w:cs="Times New Roman"/>
          <w:sz w:val="24"/>
          <w:szCs w:val="20"/>
        </w:rPr>
        <w:t xml:space="preserve">(e.g. </w:t>
      </w:r>
      <w:r w:rsidR="00F8708C">
        <w:rPr>
          <w:rFonts w:ascii="Garamond" w:hAnsi="Garamond" w:cs="Times New Roman"/>
          <w:sz w:val="24"/>
          <w:szCs w:val="20"/>
        </w:rPr>
        <w:t xml:space="preserve">local programs structurally </w:t>
      </w:r>
      <w:r w:rsidR="002046D9">
        <w:rPr>
          <w:rFonts w:ascii="Garamond" w:hAnsi="Garamond" w:cs="Times New Roman"/>
          <w:sz w:val="24"/>
          <w:szCs w:val="20"/>
        </w:rPr>
        <w:t xml:space="preserve">supporting quality PD) </w:t>
      </w:r>
      <w:r w:rsidR="000F14BC">
        <w:rPr>
          <w:rFonts w:ascii="Garamond" w:hAnsi="Garamond" w:cs="Times New Roman"/>
          <w:sz w:val="24"/>
          <w:szCs w:val="20"/>
        </w:rPr>
        <w:t>as NMHED-AE heads into our next competitive AEFLA grant cycle</w:t>
      </w:r>
      <w:r w:rsidR="007F1B4F">
        <w:rPr>
          <w:rFonts w:ascii="Garamond" w:hAnsi="Garamond" w:cs="Times New Roman"/>
          <w:sz w:val="24"/>
          <w:szCs w:val="20"/>
        </w:rPr>
        <w:t xml:space="preserve"> in the</w:t>
      </w:r>
      <w:r w:rsidR="000F14BC">
        <w:rPr>
          <w:rFonts w:ascii="Garamond" w:hAnsi="Garamond" w:cs="Times New Roman"/>
          <w:sz w:val="24"/>
          <w:szCs w:val="20"/>
        </w:rPr>
        <w:t xml:space="preserve"> spring</w:t>
      </w:r>
      <w:r w:rsidR="007F1B4F">
        <w:rPr>
          <w:rFonts w:ascii="Garamond" w:hAnsi="Garamond" w:cs="Times New Roman"/>
          <w:sz w:val="24"/>
          <w:szCs w:val="20"/>
        </w:rPr>
        <w:t xml:space="preserve"> of 2021</w:t>
      </w:r>
      <w:r w:rsidR="000F14BC">
        <w:rPr>
          <w:rFonts w:ascii="Garamond" w:hAnsi="Garamond" w:cs="Times New Roman"/>
          <w:sz w:val="24"/>
          <w:szCs w:val="20"/>
        </w:rPr>
        <w:t>.</w:t>
      </w:r>
    </w:p>
    <w:p w:rsidR="00BC6D73" w:rsidRPr="00B10BFF" w:rsidRDefault="00BC6D73" w:rsidP="00DD6327">
      <w:pPr>
        <w:spacing w:after="120"/>
        <w:rPr>
          <w:rFonts w:ascii="Garamond" w:hAnsi="Garamond" w:cs="Times New Roman"/>
          <w:b/>
          <w:sz w:val="24"/>
          <w:szCs w:val="20"/>
          <w:u w:val="single"/>
        </w:rPr>
      </w:pPr>
      <w:r>
        <w:rPr>
          <w:rFonts w:ascii="Garamond" w:hAnsi="Garamond" w:cs="Times New Roman"/>
          <w:noProof/>
          <w:sz w:val="24"/>
          <w:szCs w:val="20"/>
        </w:rPr>
        <w:t xml:space="preserve">  </w:t>
      </w:r>
      <w:r>
        <w:rPr>
          <w:rFonts w:ascii="Garamond" w:hAnsi="Garamond" w:cs="Times New Roman"/>
          <w:sz w:val="24"/>
          <w:szCs w:val="20"/>
        </w:rPr>
        <w:t xml:space="preserve">                     </w:t>
      </w:r>
    </w:p>
    <w:p w:rsidR="00092D35" w:rsidRPr="00B52B8A" w:rsidRDefault="00240833" w:rsidP="00F07C85">
      <w:pPr>
        <w:spacing w:after="120"/>
        <w:rPr>
          <w:rFonts w:ascii="Garamond" w:hAnsi="Garamond" w:cs="Times New Roman"/>
          <w:b/>
          <w:sz w:val="24"/>
          <w:szCs w:val="20"/>
          <w:u w:val="single"/>
        </w:rPr>
      </w:pPr>
      <w:r w:rsidRPr="00B52B8A">
        <w:rPr>
          <w:rFonts w:ascii="Garamond" w:hAnsi="Garamond" w:cs="Times New Roman"/>
          <w:b/>
          <w:sz w:val="24"/>
          <w:szCs w:val="20"/>
          <w:u w:val="single"/>
        </w:rPr>
        <w:t xml:space="preserve">3. </w:t>
      </w:r>
      <w:r w:rsidR="00F07C85" w:rsidRPr="00B52B8A">
        <w:rPr>
          <w:rFonts w:ascii="Garamond" w:hAnsi="Garamond" w:cs="Times New Roman"/>
          <w:b/>
          <w:sz w:val="24"/>
          <w:szCs w:val="20"/>
          <w:u w:val="single"/>
        </w:rPr>
        <w:t>Integration with One-stop Partners: 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rsidR="00490307" w:rsidRPr="00D83B68" w:rsidRDefault="00620BF6" w:rsidP="00F07C85">
      <w:pPr>
        <w:spacing w:after="120"/>
        <w:rPr>
          <w:rFonts w:ascii="Garamond" w:hAnsi="Garamond" w:cs="Times New Roman"/>
          <w:sz w:val="24"/>
          <w:szCs w:val="20"/>
        </w:rPr>
      </w:pPr>
      <w:r>
        <w:rPr>
          <w:rFonts w:ascii="Garamond" w:hAnsi="Garamond" w:cs="Times New Roman"/>
          <w:sz w:val="24"/>
          <w:szCs w:val="20"/>
        </w:rPr>
        <w:t xml:space="preserve">The New Mexico Department of Workforce Solutions (DWS) is the State eligible agency </w:t>
      </w:r>
      <w:r w:rsidR="003E7D2B">
        <w:rPr>
          <w:rFonts w:ascii="Garamond" w:hAnsi="Garamond" w:cs="Times New Roman"/>
          <w:sz w:val="24"/>
          <w:szCs w:val="20"/>
        </w:rPr>
        <w:t xml:space="preserve">responsible for meeting one-stop requirements.  </w:t>
      </w:r>
      <w:r w:rsidR="008550C4">
        <w:rPr>
          <w:rFonts w:ascii="Garamond" w:hAnsi="Garamond" w:cs="Times New Roman"/>
          <w:sz w:val="24"/>
          <w:szCs w:val="20"/>
        </w:rPr>
        <w:t>Operations, including t</w:t>
      </w:r>
      <w:r w:rsidR="003E7D2B">
        <w:rPr>
          <w:rFonts w:ascii="Garamond" w:hAnsi="Garamond" w:cs="Times New Roman"/>
          <w:sz w:val="24"/>
          <w:szCs w:val="20"/>
        </w:rPr>
        <w:t>he manner with which applicable career services are provided</w:t>
      </w:r>
      <w:r w:rsidR="00667E8C">
        <w:rPr>
          <w:rFonts w:ascii="Garamond" w:hAnsi="Garamond" w:cs="Times New Roman"/>
          <w:sz w:val="24"/>
          <w:szCs w:val="20"/>
        </w:rPr>
        <w:t>,</w:t>
      </w:r>
      <w:r w:rsidR="003E7D2B">
        <w:rPr>
          <w:rFonts w:ascii="Garamond" w:hAnsi="Garamond" w:cs="Times New Roman"/>
          <w:sz w:val="24"/>
          <w:szCs w:val="20"/>
        </w:rPr>
        <w:t xml:space="preserve"> can be</w:t>
      </w:r>
      <w:r w:rsidR="00684C29">
        <w:rPr>
          <w:rFonts w:ascii="Garamond" w:hAnsi="Garamond" w:cs="Times New Roman"/>
          <w:sz w:val="24"/>
          <w:szCs w:val="20"/>
        </w:rPr>
        <w:t xml:space="preserve"> fully</w:t>
      </w:r>
      <w:r w:rsidR="003E7D2B">
        <w:rPr>
          <w:rFonts w:ascii="Garamond" w:hAnsi="Garamond" w:cs="Times New Roman"/>
          <w:sz w:val="24"/>
          <w:szCs w:val="20"/>
        </w:rPr>
        <w:t xml:space="preserve"> explored in both the Combined State Plan and </w:t>
      </w:r>
      <w:r w:rsidR="00684C29">
        <w:rPr>
          <w:rFonts w:ascii="Garamond" w:hAnsi="Garamond" w:cs="Times New Roman"/>
          <w:sz w:val="24"/>
          <w:szCs w:val="20"/>
        </w:rPr>
        <w:t>--</w:t>
      </w:r>
      <w:r w:rsidR="003E7D2B">
        <w:rPr>
          <w:rFonts w:ascii="Garamond" w:hAnsi="Garamond" w:cs="Times New Roman"/>
          <w:sz w:val="24"/>
          <w:szCs w:val="20"/>
        </w:rPr>
        <w:t>very shortly</w:t>
      </w:r>
      <w:r w:rsidR="00684C29">
        <w:rPr>
          <w:rFonts w:ascii="Garamond" w:hAnsi="Garamond" w:cs="Times New Roman"/>
          <w:sz w:val="24"/>
          <w:szCs w:val="20"/>
        </w:rPr>
        <w:t xml:space="preserve">, </w:t>
      </w:r>
      <w:r w:rsidR="003E7D2B">
        <w:rPr>
          <w:rFonts w:ascii="Garamond" w:hAnsi="Garamond" w:cs="Times New Roman"/>
          <w:sz w:val="24"/>
          <w:szCs w:val="20"/>
        </w:rPr>
        <w:t xml:space="preserve">in </w:t>
      </w:r>
      <w:r w:rsidR="00764271">
        <w:rPr>
          <w:rFonts w:ascii="Garamond" w:hAnsi="Garamond" w:cs="Times New Roman"/>
          <w:sz w:val="24"/>
          <w:szCs w:val="20"/>
        </w:rPr>
        <w:t xml:space="preserve">even </w:t>
      </w:r>
      <w:r w:rsidR="003E7D2B">
        <w:rPr>
          <w:rFonts w:ascii="Garamond" w:hAnsi="Garamond" w:cs="Times New Roman"/>
          <w:sz w:val="24"/>
          <w:szCs w:val="20"/>
        </w:rPr>
        <w:t>more detai</w:t>
      </w:r>
      <w:r w:rsidR="00764271">
        <w:rPr>
          <w:rFonts w:ascii="Garamond" w:hAnsi="Garamond" w:cs="Times New Roman"/>
          <w:sz w:val="24"/>
          <w:szCs w:val="20"/>
        </w:rPr>
        <w:t>l</w:t>
      </w:r>
      <w:r w:rsidR="00684C29">
        <w:rPr>
          <w:rFonts w:ascii="Garamond" w:hAnsi="Garamond" w:cs="Times New Roman"/>
          <w:sz w:val="24"/>
          <w:szCs w:val="20"/>
        </w:rPr>
        <w:t xml:space="preserve">—in </w:t>
      </w:r>
      <w:r w:rsidR="003E7D2B">
        <w:rPr>
          <w:rFonts w:ascii="Garamond" w:hAnsi="Garamond" w:cs="Times New Roman"/>
          <w:sz w:val="24"/>
          <w:szCs w:val="20"/>
        </w:rPr>
        <w:t>the four</w:t>
      </w:r>
      <w:r w:rsidR="00764271">
        <w:rPr>
          <w:rFonts w:ascii="Garamond" w:hAnsi="Garamond" w:cs="Times New Roman"/>
          <w:sz w:val="24"/>
          <w:szCs w:val="20"/>
        </w:rPr>
        <w:t xml:space="preserve"> </w:t>
      </w:r>
      <w:r w:rsidR="003E7D2B">
        <w:rPr>
          <w:rFonts w:ascii="Garamond" w:hAnsi="Garamond" w:cs="Times New Roman"/>
          <w:sz w:val="24"/>
          <w:szCs w:val="20"/>
        </w:rPr>
        <w:t xml:space="preserve">revised Local Area Plans that will be available for viewing via links on the DWS website, as well as on each region’s respective websites.  </w:t>
      </w:r>
      <w:r w:rsidR="00D467BD">
        <w:rPr>
          <w:rFonts w:ascii="Garamond" w:hAnsi="Garamond" w:cs="Times New Roman"/>
          <w:sz w:val="24"/>
          <w:szCs w:val="20"/>
        </w:rPr>
        <w:t>Without exception, each of the 24 local Adult Education providers offer</w:t>
      </w:r>
      <w:r w:rsidR="00684C29">
        <w:rPr>
          <w:rFonts w:ascii="Garamond" w:hAnsi="Garamond" w:cs="Times New Roman"/>
          <w:sz w:val="24"/>
          <w:szCs w:val="20"/>
        </w:rPr>
        <w:t xml:space="preserve"> targeted</w:t>
      </w:r>
      <w:r w:rsidR="00973CA0">
        <w:rPr>
          <w:rFonts w:ascii="Garamond" w:hAnsi="Garamond" w:cs="Times New Roman"/>
          <w:sz w:val="24"/>
          <w:szCs w:val="20"/>
        </w:rPr>
        <w:t xml:space="preserve"> in-house</w:t>
      </w:r>
      <w:r w:rsidR="00D467BD">
        <w:rPr>
          <w:rFonts w:ascii="Garamond" w:hAnsi="Garamond" w:cs="Times New Roman"/>
          <w:sz w:val="24"/>
          <w:szCs w:val="20"/>
        </w:rPr>
        <w:t xml:space="preserve"> career </w:t>
      </w:r>
      <w:r w:rsidR="00667E8C">
        <w:rPr>
          <w:rFonts w:ascii="Garamond" w:hAnsi="Garamond" w:cs="Times New Roman"/>
          <w:sz w:val="24"/>
          <w:szCs w:val="20"/>
        </w:rPr>
        <w:t xml:space="preserve">services and </w:t>
      </w:r>
      <w:r w:rsidR="00D467BD">
        <w:rPr>
          <w:rFonts w:ascii="Garamond" w:hAnsi="Garamond" w:cs="Times New Roman"/>
          <w:sz w:val="24"/>
          <w:szCs w:val="20"/>
        </w:rPr>
        <w:t>counseling</w:t>
      </w:r>
      <w:r w:rsidR="00667E8C">
        <w:rPr>
          <w:rFonts w:ascii="Garamond" w:hAnsi="Garamond" w:cs="Times New Roman"/>
          <w:sz w:val="24"/>
          <w:szCs w:val="20"/>
        </w:rPr>
        <w:t>, including</w:t>
      </w:r>
      <w:r w:rsidR="00D467BD">
        <w:rPr>
          <w:rFonts w:ascii="Garamond" w:hAnsi="Garamond" w:cs="Times New Roman"/>
          <w:sz w:val="24"/>
          <w:szCs w:val="20"/>
        </w:rPr>
        <w:t xml:space="preserve"> </w:t>
      </w:r>
      <w:r w:rsidR="00667E8C">
        <w:rPr>
          <w:rFonts w:ascii="Garamond" w:hAnsi="Garamond" w:cs="Times New Roman"/>
          <w:sz w:val="24"/>
          <w:szCs w:val="20"/>
        </w:rPr>
        <w:t>testing services</w:t>
      </w:r>
      <w:r w:rsidR="00D467BD">
        <w:rPr>
          <w:rFonts w:ascii="Garamond" w:hAnsi="Garamond" w:cs="Times New Roman"/>
          <w:sz w:val="24"/>
          <w:szCs w:val="20"/>
        </w:rPr>
        <w:t xml:space="preserve"> with an NRS-approved assessment</w:t>
      </w:r>
      <w:r w:rsidR="009F45A2">
        <w:rPr>
          <w:rFonts w:ascii="Garamond" w:hAnsi="Garamond" w:cs="Times New Roman"/>
          <w:sz w:val="24"/>
          <w:szCs w:val="20"/>
        </w:rPr>
        <w:t>, but going beyond.</w:t>
      </w:r>
      <w:r w:rsidR="005E72EE">
        <w:rPr>
          <w:rFonts w:ascii="Garamond" w:hAnsi="Garamond" w:cs="Times New Roman"/>
          <w:sz w:val="24"/>
          <w:szCs w:val="20"/>
        </w:rPr>
        <w:t xml:space="preserve">  </w:t>
      </w:r>
      <w:r w:rsidR="009F45A2">
        <w:rPr>
          <w:rFonts w:ascii="Garamond" w:hAnsi="Garamond" w:cs="Times New Roman"/>
          <w:sz w:val="24"/>
          <w:szCs w:val="20"/>
        </w:rPr>
        <w:t xml:space="preserve">For example, as a </w:t>
      </w:r>
      <w:r w:rsidR="00D467BD">
        <w:rPr>
          <w:rFonts w:ascii="Garamond" w:hAnsi="Garamond" w:cs="Times New Roman"/>
          <w:sz w:val="24"/>
          <w:szCs w:val="20"/>
        </w:rPr>
        <w:t xml:space="preserve">result of their participation in the state-sponsored Career Pathways Initiative last year, many </w:t>
      </w:r>
      <w:r w:rsidR="00667E8C">
        <w:rPr>
          <w:rFonts w:ascii="Garamond" w:hAnsi="Garamond" w:cs="Times New Roman"/>
          <w:sz w:val="24"/>
          <w:szCs w:val="20"/>
        </w:rPr>
        <w:t xml:space="preserve">local AE programs </w:t>
      </w:r>
      <w:r w:rsidR="00D467BD">
        <w:rPr>
          <w:rFonts w:ascii="Garamond" w:hAnsi="Garamond" w:cs="Times New Roman"/>
          <w:sz w:val="24"/>
          <w:szCs w:val="20"/>
        </w:rPr>
        <w:t xml:space="preserve">have </w:t>
      </w:r>
      <w:r w:rsidR="00667E8C">
        <w:rPr>
          <w:rFonts w:ascii="Garamond" w:hAnsi="Garamond" w:cs="Times New Roman"/>
          <w:sz w:val="24"/>
          <w:szCs w:val="20"/>
        </w:rPr>
        <w:t>hired</w:t>
      </w:r>
      <w:r w:rsidR="00D467BD">
        <w:rPr>
          <w:rFonts w:ascii="Garamond" w:hAnsi="Garamond" w:cs="Times New Roman"/>
          <w:sz w:val="24"/>
          <w:szCs w:val="20"/>
        </w:rPr>
        <w:t xml:space="preserve"> at least a part time career navigator to work with students and to help connect them to WIOA partner services.  </w:t>
      </w:r>
      <w:r w:rsidR="00973CA0">
        <w:rPr>
          <w:rFonts w:ascii="Garamond" w:hAnsi="Garamond" w:cs="Times New Roman"/>
          <w:sz w:val="24"/>
          <w:szCs w:val="20"/>
        </w:rPr>
        <w:t xml:space="preserve"> </w:t>
      </w:r>
      <w:r w:rsidR="003E7D2B">
        <w:rPr>
          <w:rFonts w:ascii="Garamond" w:hAnsi="Garamond" w:cs="Times New Roman"/>
          <w:sz w:val="24"/>
          <w:szCs w:val="20"/>
        </w:rPr>
        <w:t xml:space="preserve">New Mexico has not had to resort to the State option to support </w:t>
      </w:r>
      <w:r w:rsidR="00667E8C">
        <w:rPr>
          <w:rFonts w:ascii="Garamond" w:hAnsi="Garamond" w:cs="Times New Roman"/>
          <w:sz w:val="24"/>
          <w:szCs w:val="20"/>
        </w:rPr>
        <w:t xml:space="preserve">one-stop </w:t>
      </w:r>
      <w:r w:rsidR="003E7D2B">
        <w:rPr>
          <w:rFonts w:ascii="Garamond" w:hAnsi="Garamond" w:cs="Times New Roman"/>
          <w:sz w:val="24"/>
          <w:szCs w:val="20"/>
        </w:rPr>
        <w:t xml:space="preserve">infrastructure costs; each of the four LWDB’s are responsible for determining </w:t>
      </w:r>
      <w:r w:rsidR="005E72EE">
        <w:rPr>
          <w:rFonts w:ascii="Garamond" w:hAnsi="Garamond" w:cs="Times New Roman"/>
          <w:sz w:val="24"/>
          <w:szCs w:val="20"/>
        </w:rPr>
        <w:t xml:space="preserve">partner share responsibility for </w:t>
      </w:r>
      <w:r w:rsidR="00667E8C">
        <w:rPr>
          <w:rFonts w:ascii="Garamond" w:hAnsi="Garamond" w:cs="Times New Roman"/>
          <w:sz w:val="24"/>
          <w:szCs w:val="20"/>
        </w:rPr>
        <w:t>these</w:t>
      </w:r>
      <w:r w:rsidR="003E7D2B">
        <w:rPr>
          <w:rFonts w:ascii="Garamond" w:hAnsi="Garamond" w:cs="Times New Roman"/>
          <w:sz w:val="24"/>
          <w:szCs w:val="20"/>
        </w:rPr>
        <w:t xml:space="preserve"> costs and </w:t>
      </w:r>
      <w:r w:rsidR="009F45A2">
        <w:rPr>
          <w:rFonts w:ascii="Garamond" w:hAnsi="Garamond" w:cs="Times New Roman"/>
          <w:sz w:val="24"/>
          <w:szCs w:val="20"/>
        </w:rPr>
        <w:t>have</w:t>
      </w:r>
      <w:r w:rsidR="003E7D2B">
        <w:rPr>
          <w:rFonts w:ascii="Garamond" w:hAnsi="Garamond" w:cs="Times New Roman"/>
          <w:sz w:val="24"/>
          <w:szCs w:val="20"/>
        </w:rPr>
        <w:t xml:space="preserve"> successfully work</w:t>
      </w:r>
      <w:r w:rsidR="009F45A2">
        <w:rPr>
          <w:rFonts w:ascii="Garamond" w:hAnsi="Garamond" w:cs="Times New Roman"/>
          <w:sz w:val="24"/>
          <w:szCs w:val="20"/>
        </w:rPr>
        <w:t>ed</w:t>
      </w:r>
      <w:r w:rsidR="003E7D2B">
        <w:rPr>
          <w:rFonts w:ascii="Garamond" w:hAnsi="Garamond" w:cs="Times New Roman"/>
          <w:sz w:val="24"/>
          <w:szCs w:val="20"/>
        </w:rPr>
        <w:t xml:space="preserve"> with core required partners</w:t>
      </w:r>
      <w:r w:rsidR="00973CA0">
        <w:rPr>
          <w:rFonts w:ascii="Garamond" w:hAnsi="Garamond" w:cs="Times New Roman"/>
          <w:sz w:val="24"/>
          <w:szCs w:val="20"/>
        </w:rPr>
        <w:t xml:space="preserve"> via MO</w:t>
      </w:r>
      <w:r w:rsidR="00415CAF">
        <w:rPr>
          <w:rFonts w:ascii="Garamond" w:hAnsi="Garamond" w:cs="Times New Roman"/>
          <w:sz w:val="24"/>
          <w:szCs w:val="20"/>
        </w:rPr>
        <w:t>U</w:t>
      </w:r>
      <w:r w:rsidR="00973CA0">
        <w:rPr>
          <w:rFonts w:ascii="Garamond" w:hAnsi="Garamond" w:cs="Times New Roman"/>
          <w:sz w:val="24"/>
          <w:szCs w:val="20"/>
        </w:rPr>
        <w:t>s</w:t>
      </w:r>
      <w:r w:rsidR="009F45A2">
        <w:rPr>
          <w:rFonts w:ascii="Garamond" w:hAnsi="Garamond" w:cs="Times New Roman"/>
          <w:sz w:val="24"/>
          <w:szCs w:val="20"/>
        </w:rPr>
        <w:t xml:space="preserve"> to determine local option cost sharing.</w:t>
      </w:r>
      <w:r w:rsidR="00973CA0">
        <w:rPr>
          <w:rFonts w:ascii="Garamond" w:hAnsi="Garamond" w:cs="Times New Roman"/>
          <w:sz w:val="24"/>
          <w:szCs w:val="20"/>
        </w:rPr>
        <w:t xml:space="preserve">  Some local Adult Education programs have additional MOAs or MOUs with</w:t>
      </w:r>
      <w:r w:rsidR="00415CAF">
        <w:rPr>
          <w:rFonts w:ascii="Garamond" w:hAnsi="Garamond" w:cs="Times New Roman"/>
          <w:sz w:val="24"/>
          <w:szCs w:val="20"/>
        </w:rPr>
        <w:t xml:space="preserve"> </w:t>
      </w:r>
      <w:r w:rsidR="00973CA0">
        <w:rPr>
          <w:rFonts w:ascii="Garamond" w:hAnsi="Garamond" w:cs="Times New Roman"/>
          <w:sz w:val="24"/>
          <w:szCs w:val="20"/>
        </w:rPr>
        <w:t>LWDB-contracted Title I service providers</w:t>
      </w:r>
      <w:r w:rsidR="00D349CD">
        <w:rPr>
          <w:rFonts w:ascii="Garamond" w:hAnsi="Garamond" w:cs="Times New Roman"/>
          <w:sz w:val="24"/>
          <w:szCs w:val="20"/>
        </w:rPr>
        <w:t>, both youth and adult.</w:t>
      </w:r>
      <w:r w:rsidR="00973CA0">
        <w:rPr>
          <w:rFonts w:ascii="Garamond" w:hAnsi="Garamond" w:cs="Times New Roman"/>
          <w:sz w:val="24"/>
          <w:szCs w:val="20"/>
        </w:rPr>
        <w:t xml:space="preserve">  While this trend took years to establish, we hope that some firm successes last year--in the</w:t>
      </w:r>
      <w:r w:rsidR="00D349CD">
        <w:rPr>
          <w:rFonts w:ascii="Garamond" w:hAnsi="Garamond" w:cs="Times New Roman"/>
          <w:sz w:val="24"/>
          <w:szCs w:val="20"/>
        </w:rPr>
        <w:t xml:space="preserve"> </w:t>
      </w:r>
      <w:r w:rsidR="00973CA0">
        <w:rPr>
          <w:rFonts w:ascii="Garamond" w:hAnsi="Garamond" w:cs="Times New Roman"/>
          <w:sz w:val="24"/>
          <w:szCs w:val="20"/>
        </w:rPr>
        <w:t xml:space="preserve">Northern </w:t>
      </w:r>
      <w:r w:rsidR="00D349CD">
        <w:rPr>
          <w:rFonts w:ascii="Garamond" w:hAnsi="Garamond" w:cs="Times New Roman"/>
          <w:sz w:val="24"/>
          <w:szCs w:val="20"/>
        </w:rPr>
        <w:t xml:space="preserve">and Eastern </w:t>
      </w:r>
      <w:r w:rsidR="00973CA0">
        <w:rPr>
          <w:rFonts w:ascii="Garamond" w:hAnsi="Garamond" w:cs="Times New Roman"/>
          <w:sz w:val="24"/>
          <w:szCs w:val="20"/>
        </w:rPr>
        <w:t>regions in particular</w:t>
      </w:r>
      <w:r w:rsidR="001A4062">
        <w:rPr>
          <w:rFonts w:ascii="Garamond" w:hAnsi="Garamond" w:cs="Times New Roman"/>
          <w:sz w:val="24"/>
          <w:szCs w:val="20"/>
        </w:rPr>
        <w:t xml:space="preserve">—combined </w:t>
      </w:r>
      <w:r w:rsidR="00973CA0">
        <w:rPr>
          <w:rFonts w:ascii="Garamond" w:hAnsi="Garamond" w:cs="Times New Roman"/>
          <w:sz w:val="24"/>
          <w:szCs w:val="20"/>
        </w:rPr>
        <w:t xml:space="preserve">with </w:t>
      </w:r>
      <w:r w:rsidR="00415CAF">
        <w:rPr>
          <w:rFonts w:ascii="Garamond" w:hAnsi="Garamond" w:cs="Times New Roman"/>
          <w:sz w:val="24"/>
          <w:szCs w:val="20"/>
        </w:rPr>
        <w:t>increasingly strong partnerships forming at the state agency level (e.g. between NMHED-AE and DWS) support continued growth in the domain of clearly-articulated formal agreements</w:t>
      </w:r>
      <w:r w:rsidR="003A41A7">
        <w:rPr>
          <w:rFonts w:ascii="Garamond" w:hAnsi="Garamond" w:cs="Times New Roman"/>
          <w:sz w:val="24"/>
          <w:szCs w:val="20"/>
        </w:rPr>
        <w:t xml:space="preserve"> for enhanced efficiency</w:t>
      </w:r>
      <w:r w:rsidR="00C236F7">
        <w:rPr>
          <w:rFonts w:ascii="Garamond" w:hAnsi="Garamond" w:cs="Times New Roman"/>
          <w:sz w:val="24"/>
          <w:szCs w:val="20"/>
        </w:rPr>
        <w:t xml:space="preserve">, efficacy, and </w:t>
      </w:r>
      <w:r w:rsidR="003A41A7">
        <w:rPr>
          <w:rFonts w:ascii="Garamond" w:hAnsi="Garamond" w:cs="Times New Roman"/>
          <w:sz w:val="24"/>
          <w:szCs w:val="20"/>
        </w:rPr>
        <w:t xml:space="preserve">genuine </w:t>
      </w:r>
      <w:r w:rsidR="00A33766">
        <w:rPr>
          <w:rFonts w:ascii="Garamond" w:hAnsi="Garamond" w:cs="Times New Roman"/>
          <w:sz w:val="24"/>
          <w:szCs w:val="20"/>
        </w:rPr>
        <w:t xml:space="preserve">service </w:t>
      </w:r>
      <w:r w:rsidR="003A41A7">
        <w:rPr>
          <w:rFonts w:ascii="Garamond" w:hAnsi="Garamond" w:cs="Times New Roman"/>
          <w:sz w:val="24"/>
          <w:szCs w:val="20"/>
        </w:rPr>
        <w:t>alignment.</w:t>
      </w:r>
      <w:r w:rsidR="00973CA0">
        <w:rPr>
          <w:rFonts w:ascii="Garamond" w:hAnsi="Garamond" w:cs="Times New Roman"/>
          <w:sz w:val="24"/>
          <w:szCs w:val="20"/>
        </w:rPr>
        <w:t xml:space="preserve"> </w:t>
      </w:r>
    </w:p>
    <w:p w:rsidR="00DD6327" w:rsidRDefault="00DD6327" w:rsidP="0014013B">
      <w:pPr>
        <w:spacing w:after="120"/>
        <w:rPr>
          <w:rFonts w:ascii="Garamond" w:hAnsi="Garamond" w:cs="Times New Roman"/>
          <w:b/>
          <w:sz w:val="24"/>
          <w:szCs w:val="20"/>
          <w:u w:val="single"/>
        </w:rPr>
      </w:pPr>
    </w:p>
    <w:p w:rsidR="0014013B" w:rsidRPr="00D83B68" w:rsidRDefault="00240833" w:rsidP="00B10BFF">
      <w:pPr>
        <w:rPr>
          <w:rFonts w:ascii="Garamond" w:hAnsi="Garamond" w:cs="Times New Roman"/>
          <w:b/>
          <w:sz w:val="24"/>
          <w:szCs w:val="20"/>
          <w:u w:val="single"/>
        </w:rPr>
      </w:pPr>
      <w:r>
        <w:rPr>
          <w:rFonts w:ascii="Garamond" w:hAnsi="Garamond" w:cs="Times New Roman"/>
          <w:b/>
          <w:sz w:val="24"/>
          <w:szCs w:val="20"/>
          <w:u w:val="single"/>
        </w:rPr>
        <w:lastRenderedPageBreak/>
        <w:t>4</w:t>
      </w:r>
      <w:r w:rsidR="00DB3411">
        <w:rPr>
          <w:rFonts w:ascii="Garamond" w:hAnsi="Garamond" w:cs="Times New Roman"/>
          <w:b/>
          <w:sz w:val="24"/>
          <w:szCs w:val="20"/>
          <w:u w:val="single"/>
        </w:rPr>
        <w:t xml:space="preserve"> </w:t>
      </w:r>
      <w:r>
        <w:rPr>
          <w:rFonts w:ascii="Garamond" w:hAnsi="Garamond" w:cs="Times New Roman"/>
          <w:b/>
          <w:sz w:val="24"/>
          <w:szCs w:val="20"/>
          <w:u w:val="single"/>
        </w:rPr>
        <w:t xml:space="preserve"> </w:t>
      </w:r>
      <w:r w:rsidR="0014013B" w:rsidRPr="00D83B68">
        <w:rPr>
          <w:rFonts w:ascii="Garamond" w:hAnsi="Garamond" w:cs="Times New Roman"/>
          <w:b/>
          <w:sz w:val="24"/>
          <w:szCs w:val="20"/>
          <w:u w:val="single"/>
        </w:rPr>
        <w:t>Integrated English Literacy and Civics Education (IELCE) Program (AEFLA Section 243): Describe how the state is using funds under Section 243 to support the following activities under the IELCE program:</w:t>
      </w:r>
    </w:p>
    <w:p w:rsidR="00B3020F" w:rsidRDefault="0014013B" w:rsidP="00114E8D">
      <w:pPr>
        <w:spacing w:after="120"/>
        <w:rPr>
          <w:rFonts w:ascii="Garamond" w:hAnsi="Garamond" w:cs="Times New Roman"/>
          <w:b/>
          <w:sz w:val="24"/>
          <w:szCs w:val="20"/>
        </w:rPr>
      </w:pPr>
      <w:r w:rsidRPr="00114E8D">
        <w:rPr>
          <w:rFonts w:ascii="Garamond" w:hAnsi="Garamond" w:cs="Times New Roman"/>
          <w:b/>
          <w:sz w:val="24"/>
          <w:szCs w:val="20"/>
        </w:rPr>
        <w:t>Describe when your State held a competition [the latest competition] for IELCE program funds and the number of grants awarded by your State to support IELCE programs.</w:t>
      </w:r>
      <w:r w:rsidR="00B10BFF">
        <w:rPr>
          <w:rFonts w:ascii="Garamond" w:hAnsi="Garamond" w:cs="Times New Roman"/>
          <w:b/>
          <w:sz w:val="24"/>
          <w:szCs w:val="20"/>
        </w:rPr>
        <w:t xml:space="preserve">  </w:t>
      </w:r>
    </w:p>
    <w:p w:rsidR="003171D2" w:rsidRPr="00B10BFF" w:rsidRDefault="008415AE" w:rsidP="00114E8D">
      <w:pPr>
        <w:spacing w:after="120"/>
        <w:rPr>
          <w:rFonts w:ascii="Garamond" w:hAnsi="Garamond" w:cs="Times New Roman"/>
          <w:b/>
          <w:sz w:val="24"/>
          <w:szCs w:val="20"/>
        </w:rPr>
      </w:pPr>
      <w:r>
        <w:rPr>
          <w:rFonts w:ascii="Garamond" w:hAnsi="Garamond" w:cs="Times New Roman"/>
          <w:sz w:val="24"/>
          <w:szCs w:val="20"/>
        </w:rPr>
        <w:t>New Mexico last held a competition for IE</w:t>
      </w:r>
      <w:r w:rsidR="00BA222E">
        <w:rPr>
          <w:rFonts w:ascii="Garamond" w:hAnsi="Garamond" w:cs="Times New Roman"/>
          <w:sz w:val="24"/>
          <w:szCs w:val="20"/>
        </w:rPr>
        <w:t>L</w:t>
      </w:r>
      <w:r>
        <w:rPr>
          <w:rFonts w:ascii="Garamond" w:hAnsi="Garamond" w:cs="Times New Roman"/>
          <w:sz w:val="24"/>
          <w:szCs w:val="20"/>
        </w:rPr>
        <w:t xml:space="preserve">CE funding in 2017.  The IELCE grant competition was held in conjunction with AEFLA </w:t>
      </w:r>
      <w:r w:rsidR="003629D6">
        <w:rPr>
          <w:rFonts w:ascii="Garamond" w:hAnsi="Garamond" w:cs="Times New Roman"/>
          <w:sz w:val="24"/>
          <w:szCs w:val="20"/>
        </w:rPr>
        <w:t xml:space="preserve">grant </w:t>
      </w:r>
      <w:r>
        <w:rPr>
          <w:rFonts w:ascii="Garamond" w:hAnsi="Garamond" w:cs="Times New Roman"/>
          <w:sz w:val="24"/>
          <w:szCs w:val="20"/>
        </w:rPr>
        <w:t>awards. Seven local programs were awarded IELCE funding</w:t>
      </w:r>
      <w:r w:rsidR="00A53BE6">
        <w:rPr>
          <w:rFonts w:ascii="Garamond" w:hAnsi="Garamond" w:cs="Times New Roman"/>
          <w:sz w:val="24"/>
          <w:szCs w:val="20"/>
        </w:rPr>
        <w:t>;</w:t>
      </w:r>
      <w:r>
        <w:rPr>
          <w:rFonts w:ascii="Garamond" w:hAnsi="Garamond" w:cs="Times New Roman"/>
          <w:sz w:val="24"/>
          <w:szCs w:val="20"/>
        </w:rPr>
        <w:t xml:space="preserve"> however, one program later decided that the IELCE funding was not aligned </w:t>
      </w:r>
      <w:r w:rsidR="00377F28">
        <w:rPr>
          <w:rFonts w:ascii="Garamond" w:hAnsi="Garamond" w:cs="Times New Roman"/>
          <w:sz w:val="24"/>
          <w:szCs w:val="20"/>
        </w:rPr>
        <w:t xml:space="preserve">enough </w:t>
      </w:r>
      <w:r>
        <w:rPr>
          <w:rFonts w:ascii="Garamond" w:hAnsi="Garamond" w:cs="Times New Roman"/>
          <w:sz w:val="24"/>
          <w:szCs w:val="20"/>
        </w:rPr>
        <w:t xml:space="preserve">to its </w:t>
      </w:r>
      <w:r w:rsidR="00377F28">
        <w:rPr>
          <w:rFonts w:ascii="Garamond" w:hAnsi="Garamond" w:cs="Times New Roman"/>
          <w:sz w:val="24"/>
          <w:szCs w:val="20"/>
        </w:rPr>
        <w:t xml:space="preserve">evolving </w:t>
      </w:r>
      <w:r>
        <w:rPr>
          <w:rFonts w:ascii="Garamond" w:hAnsi="Garamond" w:cs="Times New Roman"/>
          <w:sz w:val="24"/>
          <w:szCs w:val="20"/>
        </w:rPr>
        <w:t xml:space="preserve">program goals and student population.  The program returned the funds and that money was redistributed to the remaining six programs who applied for and received IELCE funding.   The six local programs who received IELCE funding represent a </w:t>
      </w:r>
      <w:r w:rsidR="003629D6">
        <w:rPr>
          <w:rFonts w:ascii="Garamond" w:hAnsi="Garamond" w:cs="Times New Roman"/>
          <w:sz w:val="24"/>
          <w:szCs w:val="20"/>
        </w:rPr>
        <w:t xml:space="preserve">designated local workforce area </w:t>
      </w:r>
      <w:r>
        <w:rPr>
          <w:rFonts w:ascii="Garamond" w:hAnsi="Garamond" w:cs="Times New Roman"/>
          <w:sz w:val="24"/>
          <w:szCs w:val="20"/>
        </w:rPr>
        <w:t>cross section</w:t>
      </w:r>
      <w:r w:rsidR="003629D6">
        <w:rPr>
          <w:rFonts w:ascii="Garamond" w:hAnsi="Garamond" w:cs="Times New Roman"/>
          <w:sz w:val="24"/>
          <w:szCs w:val="20"/>
        </w:rPr>
        <w:t>,</w:t>
      </w:r>
      <w:r>
        <w:rPr>
          <w:rFonts w:ascii="Garamond" w:hAnsi="Garamond" w:cs="Times New Roman"/>
          <w:sz w:val="24"/>
          <w:szCs w:val="20"/>
        </w:rPr>
        <w:t xml:space="preserve"> including two from </w:t>
      </w:r>
      <w:r w:rsidR="003629D6">
        <w:rPr>
          <w:rFonts w:ascii="Garamond" w:hAnsi="Garamond" w:cs="Times New Roman"/>
          <w:sz w:val="24"/>
          <w:szCs w:val="20"/>
        </w:rPr>
        <w:t>the</w:t>
      </w:r>
      <w:r>
        <w:rPr>
          <w:rFonts w:ascii="Garamond" w:hAnsi="Garamond" w:cs="Times New Roman"/>
          <w:sz w:val="24"/>
          <w:szCs w:val="20"/>
        </w:rPr>
        <w:t xml:space="preserve"> Northern Region, two from the Central Region, one from the Eastern Region, and one from the Southwestern Region.</w:t>
      </w:r>
      <w:r w:rsidR="00DC00A1">
        <w:rPr>
          <w:rFonts w:ascii="Garamond" w:hAnsi="Garamond" w:cs="Times New Roman"/>
          <w:sz w:val="24"/>
          <w:szCs w:val="20"/>
        </w:rPr>
        <w:t xml:space="preserve">  Five of the local programs are connected to higher education institutions and one is a community</w:t>
      </w:r>
      <w:r w:rsidR="0011184C">
        <w:rPr>
          <w:rFonts w:ascii="Garamond" w:hAnsi="Garamond" w:cs="Times New Roman"/>
          <w:sz w:val="24"/>
          <w:szCs w:val="20"/>
        </w:rPr>
        <w:t>-</w:t>
      </w:r>
      <w:r w:rsidR="00DC00A1">
        <w:rPr>
          <w:rFonts w:ascii="Garamond" w:hAnsi="Garamond" w:cs="Times New Roman"/>
          <w:sz w:val="24"/>
          <w:szCs w:val="20"/>
        </w:rPr>
        <w:t xml:space="preserve">based organization.  </w:t>
      </w:r>
    </w:p>
    <w:p w:rsidR="00B3020F" w:rsidRDefault="0014013B" w:rsidP="00114E8D">
      <w:pPr>
        <w:spacing w:after="120"/>
        <w:rPr>
          <w:rFonts w:ascii="Garamond" w:hAnsi="Garamond" w:cs="Times New Roman"/>
          <w:b/>
          <w:sz w:val="24"/>
          <w:szCs w:val="20"/>
        </w:rPr>
      </w:pPr>
      <w:bookmarkStart w:id="1" w:name="_Hlk58939649"/>
      <w:r w:rsidRPr="00114E8D">
        <w:rPr>
          <w:rFonts w:ascii="Garamond" w:hAnsi="Garamond" w:cs="Times New Roman"/>
          <w:b/>
          <w:sz w:val="24"/>
          <w:szCs w:val="20"/>
        </w:rPr>
        <w:t>Describe your State efforts in meeting the requirement to provide IELCE services in combination with integrated education and training activities</w:t>
      </w:r>
      <w:bookmarkEnd w:id="1"/>
      <w:r w:rsidR="00B10BFF">
        <w:rPr>
          <w:rFonts w:ascii="Garamond" w:hAnsi="Garamond" w:cs="Times New Roman"/>
          <w:b/>
          <w:sz w:val="24"/>
          <w:szCs w:val="20"/>
        </w:rPr>
        <w:t xml:space="preserve">  </w:t>
      </w:r>
    </w:p>
    <w:p w:rsidR="008415AE" w:rsidRPr="008415AE" w:rsidRDefault="00D33B5F" w:rsidP="00114E8D">
      <w:pPr>
        <w:spacing w:after="120"/>
        <w:rPr>
          <w:rFonts w:ascii="Garamond" w:hAnsi="Garamond" w:cs="Times New Roman"/>
          <w:b/>
          <w:sz w:val="24"/>
          <w:szCs w:val="20"/>
        </w:rPr>
      </w:pPr>
      <w:r>
        <w:rPr>
          <w:rFonts w:ascii="Garamond" w:hAnsi="Garamond" w:cs="Times New Roman"/>
          <w:sz w:val="24"/>
          <w:szCs w:val="20"/>
        </w:rPr>
        <w:t>L</w:t>
      </w:r>
      <w:r w:rsidR="0011184C">
        <w:rPr>
          <w:rFonts w:ascii="Garamond" w:hAnsi="Garamond" w:cs="Times New Roman"/>
          <w:sz w:val="24"/>
          <w:szCs w:val="20"/>
        </w:rPr>
        <w:t xml:space="preserve">ocal program providers receiving IELCE funding work to meet the requirement to provide services with integrated education and training activities in a variety of ways.  The community-based organization </w:t>
      </w:r>
      <w:r>
        <w:rPr>
          <w:rFonts w:ascii="Garamond" w:hAnsi="Garamond" w:cs="Times New Roman"/>
          <w:sz w:val="24"/>
          <w:szCs w:val="20"/>
        </w:rPr>
        <w:t xml:space="preserve">(Catholic Charities) </w:t>
      </w:r>
      <w:r w:rsidR="0011184C">
        <w:rPr>
          <w:rFonts w:ascii="Garamond" w:hAnsi="Garamond" w:cs="Times New Roman"/>
          <w:sz w:val="24"/>
          <w:szCs w:val="20"/>
        </w:rPr>
        <w:t xml:space="preserve">partners with </w:t>
      </w:r>
      <w:r w:rsidR="00377B6F">
        <w:rPr>
          <w:rFonts w:ascii="Garamond" w:hAnsi="Garamond" w:cs="Times New Roman"/>
          <w:sz w:val="24"/>
          <w:szCs w:val="20"/>
        </w:rPr>
        <w:t xml:space="preserve">the </w:t>
      </w:r>
      <w:r w:rsidR="00377B6F" w:rsidRPr="00377B6F">
        <w:rPr>
          <w:rFonts w:ascii="Garamond" w:hAnsi="Garamond" w:cs="Times New Roman"/>
          <w:sz w:val="24"/>
          <w:szCs w:val="20"/>
        </w:rPr>
        <w:t xml:space="preserve">New Mexico Roofing Contractors Association </w:t>
      </w:r>
      <w:r w:rsidR="0011184C">
        <w:rPr>
          <w:rFonts w:ascii="Garamond" w:hAnsi="Garamond" w:cs="Times New Roman"/>
          <w:sz w:val="24"/>
          <w:szCs w:val="20"/>
        </w:rPr>
        <w:t xml:space="preserve">to provide </w:t>
      </w:r>
      <w:r>
        <w:rPr>
          <w:rFonts w:ascii="Garamond" w:hAnsi="Garamond" w:cs="Times New Roman"/>
          <w:sz w:val="24"/>
          <w:szCs w:val="20"/>
        </w:rPr>
        <w:t>basic skills instruction in context, including</w:t>
      </w:r>
      <w:r w:rsidR="0011184C">
        <w:rPr>
          <w:rFonts w:ascii="Garamond" w:hAnsi="Garamond" w:cs="Times New Roman"/>
          <w:sz w:val="24"/>
          <w:szCs w:val="20"/>
        </w:rPr>
        <w:t xml:space="preserve"> English language and civics education</w:t>
      </w:r>
      <w:r>
        <w:rPr>
          <w:rFonts w:ascii="Garamond" w:hAnsi="Garamond" w:cs="Times New Roman"/>
          <w:sz w:val="24"/>
          <w:szCs w:val="20"/>
        </w:rPr>
        <w:t>,</w:t>
      </w:r>
      <w:r w:rsidR="0011184C">
        <w:rPr>
          <w:rFonts w:ascii="Garamond" w:hAnsi="Garamond" w:cs="Times New Roman"/>
          <w:sz w:val="24"/>
          <w:szCs w:val="20"/>
        </w:rPr>
        <w:t xml:space="preserve"> while learning </w:t>
      </w:r>
      <w:r>
        <w:rPr>
          <w:rFonts w:ascii="Garamond" w:hAnsi="Garamond" w:cs="Times New Roman"/>
          <w:sz w:val="24"/>
          <w:szCs w:val="20"/>
        </w:rPr>
        <w:t>industry-specific</w:t>
      </w:r>
      <w:r w:rsidR="0011184C">
        <w:rPr>
          <w:rFonts w:ascii="Garamond" w:hAnsi="Garamond" w:cs="Times New Roman"/>
          <w:sz w:val="24"/>
          <w:szCs w:val="20"/>
        </w:rPr>
        <w:t xml:space="preserve"> trade </w:t>
      </w:r>
      <w:r>
        <w:rPr>
          <w:rFonts w:ascii="Garamond" w:hAnsi="Garamond" w:cs="Times New Roman"/>
          <w:sz w:val="24"/>
          <w:szCs w:val="20"/>
        </w:rPr>
        <w:t>skills</w:t>
      </w:r>
      <w:r w:rsidR="006E3FB5">
        <w:rPr>
          <w:rFonts w:ascii="Garamond" w:hAnsi="Garamond" w:cs="Times New Roman"/>
          <w:sz w:val="24"/>
          <w:szCs w:val="20"/>
        </w:rPr>
        <w:t xml:space="preserve"> and targeting </w:t>
      </w:r>
      <w:r w:rsidR="00E76B80">
        <w:rPr>
          <w:rFonts w:ascii="Garamond" w:hAnsi="Garamond" w:cs="Times New Roman"/>
          <w:sz w:val="24"/>
          <w:szCs w:val="20"/>
        </w:rPr>
        <w:t>HSE completion a</w:t>
      </w:r>
      <w:r>
        <w:rPr>
          <w:rFonts w:ascii="Garamond" w:hAnsi="Garamond" w:cs="Times New Roman"/>
          <w:sz w:val="24"/>
          <w:szCs w:val="20"/>
        </w:rPr>
        <w:t>s needed</w:t>
      </w:r>
      <w:r w:rsidR="00E76B80">
        <w:rPr>
          <w:rFonts w:ascii="Garamond" w:hAnsi="Garamond" w:cs="Times New Roman"/>
          <w:sz w:val="24"/>
          <w:szCs w:val="20"/>
        </w:rPr>
        <w:t xml:space="preserve">.  </w:t>
      </w:r>
      <w:r w:rsidR="007832D2">
        <w:rPr>
          <w:rFonts w:ascii="Garamond" w:hAnsi="Garamond" w:cs="Times New Roman"/>
          <w:sz w:val="24"/>
          <w:szCs w:val="20"/>
        </w:rPr>
        <w:t>All</w:t>
      </w:r>
      <w:r w:rsidR="00E76B80">
        <w:rPr>
          <w:rFonts w:ascii="Garamond" w:hAnsi="Garamond" w:cs="Times New Roman"/>
          <w:sz w:val="24"/>
          <w:szCs w:val="20"/>
        </w:rPr>
        <w:t xml:space="preserve"> local programs that are located within higher education institutions</w:t>
      </w:r>
      <w:r w:rsidR="00ED57B5">
        <w:rPr>
          <w:rFonts w:ascii="Garamond" w:hAnsi="Garamond" w:cs="Times New Roman"/>
          <w:sz w:val="24"/>
          <w:szCs w:val="20"/>
        </w:rPr>
        <w:t xml:space="preserve"> </w:t>
      </w:r>
      <w:r w:rsidR="00E76B80">
        <w:rPr>
          <w:rFonts w:ascii="Garamond" w:hAnsi="Garamond" w:cs="Times New Roman"/>
          <w:sz w:val="24"/>
          <w:szCs w:val="20"/>
        </w:rPr>
        <w:t xml:space="preserve">have </w:t>
      </w:r>
      <w:r w:rsidR="006E3FB5">
        <w:rPr>
          <w:rFonts w:ascii="Garamond" w:hAnsi="Garamond" w:cs="Times New Roman"/>
          <w:sz w:val="24"/>
          <w:szCs w:val="20"/>
        </w:rPr>
        <w:t xml:space="preserve">HEI-supported </w:t>
      </w:r>
      <w:r w:rsidR="00E76B80">
        <w:rPr>
          <w:rFonts w:ascii="Garamond" w:hAnsi="Garamond" w:cs="Times New Roman"/>
          <w:sz w:val="24"/>
          <w:szCs w:val="20"/>
        </w:rPr>
        <w:t>IET programs</w:t>
      </w:r>
      <w:r w:rsidR="006E3FB5">
        <w:rPr>
          <w:rFonts w:ascii="Garamond" w:hAnsi="Garamond" w:cs="Times New Roman"/>
          <w:sz w:val="24"/>
          <w:szCs w:val="20"/>
        </w:rPr>
        <w:t xml:space="preserve">.  </w:t>
      </w:r>
      <w:r w:rsidR="00ED57B5">
        <w:rPr>
          <w:rFonts w:ascii="Garamond" w:hAnsi="Garamond" w:cs="Times New Roman"/>
          <w:sz w:val="24"/>
          <w:szCs w:val="20"/>
        </w:rPr>
        <w:t>IELCE-funded a</w:t>
      </w:r>
      <w:r w:rsidR="00E76B80">
        <w:rPr>
          <w:rFonts w:ascii="Garamond" w:hAnsi="Garamond" w:cs="Times New Roman"/>
          <w:sz w:val="24"/>
          <w:szCs w:val="20"/>
        </w:rPr>
        <w:t>dult education students can participate in I-BEST and pre-I-BEST</w:t>
      </w:r>
      <w:r w:rsidR="0011184C">
        <w:rPr>
          <w:rFonts w:ascii="Garamond" w:hAnsi="Garamond" w:cs="Times New Roman"/>
          <w:sz w:val="24"/>
          <w:szCs w:val="20"/>
        </w:rPr>
        <w:t xml:space="preserve"> </w:t>
      </w:r>
      <w:r w:rsidR="006E3FB5">
        <w:rPr>
          <w:rFonts w:ascii="Garamond" w:hAnsi="Garamond" w:cs="Times New Roman"/>
          <w:sz w:val="24"/>
          <w:szCs w:val="20"/>
        </w:rPr>
        <w:t xml:space="preserve">bridge </w:t>
      </w:r>
      <w:r>
        <w:rPr>
          <w:rFonts w:ascii="Garamond" w:hAnsi="Garamond" w:cs="Times New Roman"/>
          <w:sz w:val="24"/>
          <w:szCs w:val="20"/>
        </w:rPr>
        <w:t>programming</w:t>
      </w:r>
      <w:r w:rsidR="00E76B80">
        <w:rPr>
          <w:rFonts w:ascii="Garamond" w:hAnsi="Garamond" w:cs="Times New Roman"/>
          <w:sz w:val="24"/>
          <w:szCs w:val="20"/>
        </w:rPr>
        <w:t xml:space="preserve"> in a variety of industry sectors</w:t>
      </w:r>
      <w:r>
        <w:rPr>
          <w:rFonts w:ascii="Garamond" w:hAnsi="Garamond" w:cs="Times New Roman"/>
          <w:sz w:val="24"/>
          <w:szCs w:val="20"/>
        </w:rPr>
        <w:t>, with a focus to date on healthcare and construction and building trades.</w:t>
      </w:r>
      <w:r w:rsidR="00E76B80">
        <w:rPr>
          <w:rFonts w:ascii="Garamond" w:hAnsi="Garamond" w:cs="Times New Roman"/>
          <w:sz w:val="24"/>
          <w:szCs w:val="20"/>
        </w:rPr>
        <w:t xml:space="preserve"> </w:t>
      </w:r>
    </w:p>
    <w:p w:rsidR="00B3020F" w:rsidRDefault="00211525" w:rsidP="00114E8D">
      <w:pPr>
        <w:spacing w:after="120"/>
        <w:rPr>
          <w:rFonts w:ascii="Garamond" w:hAnsi="Garamond" w:cs="Times New Roman"/>
          <w:b/>
          <w:sz w:val="24"/>
          <w:szCs w:val="20"/>
        </w:rPr>
      </w:pPr>
      <w:bookmarkStart w:id="2" w:name="_Hlk58939706"/>
      <w:r w:rsidRPr="00114E8D">
        <w:rPr>
          <w:rFonts w:ascii="Garamond" w:hAnsi="Garamond" w:cs="Times New Roman"/>
          <w:b/>
          <w:sz w:val="24"/>
          <w:szCs w:val="20"/>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r w:rsidR="00E76B80" w:rsidRPr="00114E8D">
        <w:rPr>
          <w:rFonts w:ascii="Garamond" w:hAnsi="Garamond" w:cs="Times New Roman"/>
          <w:b/>
          <w:sz w:val="24"/>
          <w:szCs w:val="20"/>
        </w:rPr>
        <w:t>.</w:t>
      </w:r>
      <w:bookmarkEnd w:id="2"/>
      <w:r w:rsidR="00B10BFF">
        <w:rPr>
          <w:rFonts w:ascii="Garamond" w:hAnsi="Garamond" w:cs="Times New Roman"/>
          <w:b/>
          <w:sz w:val="24"/>
          <w:szCs w:val="20"/>
        </w:rPr>
        <w:t xml:space="preserve">  </w:t>
      </w:r>
    </w:p>
    <w:p w:rsidR="00E76B80" w:rsidRPr="00B10BFF" w:rsidRDefault="00A314DB" w:rsidP="00114E8D">
      <w:pPr>
        <w:spacing w:after="120"/>
        <w:rPr>
          <w:rFonts w:ascii="Garamond" w:hAnsi="Garamond" w:cs="Times New Roman"/>
          <w:b/>
          <w:sz w:val="24"/>
          <w:szCs w:val="20"/>
        </w:rPr>
      </w:pPr>
      <w:r>
        <w:rPr>
          <w:rFonts w:ascii="Garamond" w:hAnsi="Garamond" w:cs="Times New Roman"/>
          <w:sz w:val="24"/>
          <w:szCs w:val="20"/>
        </w:rPr>
        <w:t>Of the six local programs receiving IELCE funding, four of the programs offer IET in health care related fields including C</w:t>
      </w:r>
      <w:r w:rsidR="00377B6F">
        <w:rPr>
          <w:rFonts w:ascii="Garamond" w:hAnsi="Garamond" w:cs="Times New Roman"/>
          <w:sz w:val="24"/>
          <w:szCs w:val="20"/>
        </w:rPr>
        <w:t>NA, phlebotomy,</w:t>
      </w:r>
      <w:r>
        <w:rPr>
          <w:rFonts w:ascii="Garamond" w:hAnsi="Garamond" w:cs="Times New Roman"/>
          <w:sz w:val="24"/>
          <w:szCs w:val="20"/>
        </w:rPr>
        <w:t xml:space="preserve"> and a </w:t>
      </w:r>
      <w:r w:rsidR="00473825">
        <w:rPr>
          <w:rFonts w:ascii="Garamond" w:hAnsi="Garamond" w:cs="Times New Roman"/>
          <w:sz w:val="24"/>
          <w:szCs w:val="20"/>
        </w:rPr>
        <w:t>F</w:t>
      </w:r>
      <w:r>
        <w:rPr>
          <w:rFonts w:ascii="Garamond" w:hAnsi="Garamond" w:cs="Times New Roman"/>
          <w:sz w:val="24"/>
          <w:szCs w:val="20"/>
        </w:rPr>
        <w:t xml:space="preserve">irst </w:t>
      </w:r>
      <w:r w:rsidR="00473825">
        <w:rPr>
          <w:rFonts w:ascii="Garamond" w:hAnsi="Garamond" w:cs="Times New Roman"/>
          <w:sz w:val="24"/>
          <w:szCs w:val="20"/>
        </w:rPr>
        <w:t>R</w:t>
      </w:r>
      <w:r>
        <w:rPr>
          <w:rFonts w:ascii="Garamond" w:hAnsi="Garamond" w:cs="Times New Roman"/>
          <w:sz w:val="24"/>
          <w:szCs w:val="20"/>
        </w:rPr>
        <w:t>esponder</w:t>
      </w:r>
      <w:r w:rsidR="00473825">
        <w:rPr>
          <w:rFonts w:ascii="Garamond" w:hAnsi="Garamond" w:cs="Times New Roman"/>
          <w:sz w:val="24"/>
          <w:szCs w:val="20"/>
        </w:rPr>
        <w:t>’</w:t>
      </w:r>
      <w:r>
        <w:rPr>
          <w:rFonts w:ascii="Garamond" w:hAnsi="Garamond" w:cs="Times New Roman"/>
          <w:sz w:val="24"/>
          <w:szCs w:val="20"/>
        </w:rPr>
        <w:t xml:space="preserve">s certificate.  Three programs have IET programs in the building and construction fields, including one who has students participating in introductory courses for renewable energy and solar technology.  </w:t>
      </w:r>
      <w:r w:rsidR="00473825">
        <w:rPr>
          <w:rFonts w:ascii="Garamond" w:hAnsi="Garamond" w:cs="Times New Roman"/>
          <w:sz w:val="24"/>
          <w:szCs w:val="20"/>
        </w:rPr>
        <w:t>T</w:t>
      </w:r>
      <w:r>
        <w:rPr>
          <w:rFonts w:ascii="Garamond" w:hAnsi="Garamond" w:cs="Times New Roman"/>
          <w:sz w:val="24"/>
          <w:szCs w:val="20"/>
        </w:rPr>
        <w:t xml:space="preserve">wo programs have seen a need for IET programs in early childhood education, although COVID interrupted </w:t>
      </w:r>
      <w:r w:rsidR="00473825">
        <w:rPr>
          <w:rFonts w:ascii="Garamond" w:hAnsi="Garamond" w:cs="Times New Roman"/>
          <w:sz w:val="24"/>
          <w:szCs w:val="20"/>
        </w:rPr>
        <w:t>planned</w:t>
      </w:r>
      <w:r>
        <w:rPr>
          <w:rFonts w:ascii="Garamond" w:hAnsi="Garamond" w:cs="Times New Roman"/>
          <w:sz w:val="24"/>
          <w:szCs w:val="20"/>
        </w:rPr>
        <w:t xml:space="preserve"> start up </w:t>
      </w:r>
      <w:r w:rsidR="001309EA">
        <w:rPr>
          <w:rFonts w:ascii="Garamond" w:hAnsi="Garamond" w:cs="Times New Roman"/>
          <w:sz w:val="24"/>
          <w:szCs w:val="20"/>
        </w:rPr>
        <w:t>for</w:t>
      </w:r>
      <w:r>
        <w:rPr>
          <w:rFonts w:ascii="Garamond" w:hAnsi="Garamond" w:cs="Times New Roman"/>
          <w:sz w:val="24"/>
          <w:szCs w:val="20"/>
        </w:rPr>
        <w:t xml:space="preserve"> one of those programs.  </w:t>
      </w:r>
      <w:r w:rsidR="009D30DD">
        <w:rPr>
          <w:rFonts w:ascii="Garamond" w:hAnsi="Garamond" w:cs="Times New Roman"/>
          <w:sz w:val="24"/>
          <w:szCs w:val="20"/>
        </w:rPr>
        <w:t>O</w:t>
      </w:r>
      <w:r>
        <w:rPr>
          <w:rFonts w:ascii="Garamond" w:hAnsi="Garamond" w:cs="Times New Roman"/>
          <w:sz w:val="24"/>
          <w:szCs w:val="20"/>
        </w:rPr>
        <w:t xml:space="preserve">ne of the programs has developed a curriculum focused on customer service in the hospitality industry as that is an </w:t>
      </w:r>
      <w:r w:rsidR="001309EA">
        <w:rPr>
          <w:rFonts w:ascii="Garamond" w:hAnsi="Garamond" w:cs="Times New Roman"/>
          <w:sz w:val="24"/>
          <w:szCs w:val="20"/>
        </w:rPr>
        <w:t xml:space="preserve">identified </w:t>
      </w:r>
      <w:r>
        <w:rPr>
          <w:rFonts w:ascii="Garamond" w:hAnsi="Garamond" w:cs="Times New Roman"/>
          <w:sz w:val="24"/>
          <w:szCs w:val="20"/>
        </w:rPr>
        <w:t xml:space="preserve">area of need in </w:t>
      </w:r>
      <w:r w:rsidR="001309EA">
        <w:rPr>
          <w:rFonts w:ascii="Garamond" w:hAnsi="Garamond" w:cs="Times New Roman"/>
          <w:sz w:val="24"/>
          <w:szCs w:val="20"/>
        </w:rPr>
        <w:t>the</w:t>
      </w:r>
      <w:r>
        <w:rPr>
          <w:rFonts w:ascii="Garamond" w:hAnsi="Garamond" w:cs="Times New Roman"/>
          <w:sz w:val="24"/>
          <w:szCs w:val="20"/>
        </w:rPr>
        <w:t xml:space="preserve"> local </w:t>
      </w:r>
      <w:r w:rsidR="001309EA">
        <w:rPr>
          <w:rFonts w:ascii="Garamond" w:hAnsi="Garamond" w:cs="Times New Roman"/>
          <w:sz w:val="24"/>
          <w:szCs w:val="20"/>
        </w:rPr>
        <w:t>workforce regio</w:t>
      </w:r>
      <w:r w:rsidR="005369BF">
        <w:rPr>
          <w:rFonts w:ascii="Garamond" w:hAnsi="Garamond" w:cs="Times New Roman"/>
          <w:sz w:val="24"/>
          <w:szCs w:val="20"/>
        </w:rPr>
        <w:t>n (</w:t>
      </w:r>
      <w:r w:rsidR="009D30DD">
        <w:rPr>
          <w:rFonts w:ascii="Garamond" w:hAnsi="Garamond" w:cs="Times New Roman"/>
          <w:sz w:val="24"/>
          <w:szCs w:val="20"/>
        </w:rPr>
        <w:t xml:space="preserve">more on this </w:t>
      </w:r>
      <w:r w:rsidR="005369BF">
        <w:rPr>
          <w:rFonts w:ascii="Garamond" w:hAnsi="Garamond" w:cs="Times New Roman"/>
          <w:sz w:val="24"/>
          <w:szCs w:val="20"/>
        </w:rPr>
        <w:t>in the next subsection).</w:t>
      </w:r>
      <w:r w:rsidR="00C17D56">
        <w:rPr>
          <w:rFonts w:ascii="Garamond" w:hAnsi="Garamond" w:cs="Times New Roman"/>
          <w:sz w:val="24"/>
          <w:szCs w:val="20"/>
        </w:rPr>
        <w:t xml:space="preserve">  </w:t>
      </w:r>
      <w:r w:rsidR="009A1E60">
        <w:rPr>
          <w:rFonts w:ascii="Garamond" w:hAnsi="Garamond" w:cs="Times New Roman"/>
          <w:sz w:val="24"/>
          <w:szCs w:val="20"/>
        </w:rPr>
        <w:t xml:space="preserve">Given the fact that New Mexico is a bilingual and minority-majority state, we are </w:t>
      </w:r>
      <w:r w:rsidR="005369BF">
        <w:rPr>
          <w:rFonts w:ascii="Garamond" w:hAnsi="Garamond" w:cs="Times New Roman"/>
          <w:sz w:val="24"/>
          <w:szCs w:val="20"/>
        </w:rPr>
        <w:t>definitely</w:t>
      </w:r>
      <w:r w:rsidR="009A1E60">
        <w:rPr>
          <w:rFonts w:ascii="Garamond" w:hAnsi="Garamond" w:cs="Times New Roman"/>
          <w:sz w:val="24"/>
          <w:szCs w:val="20"/>
        </w:rPr>
        <w:t xml:space="preserve"> in nascent stages of what we could be doing to grow programs </w:t>
      </w:r>
      <w:r w:rsidR="002A3E33">
        <w:rPr>
          <w:rFonts w:ascii="Garamond" w:hAnsi="Garamond" w:cs="Times New Roman"/>
          <w:sz w:val="24"/>
          <w:szCs w:val="20"/>
        </w:rPr>
        <w:t>and partnerships to</w:t>
      </w:r>
      <w:r w:rsidR="009A1E60">
        <w:rPr>
          <w:rFonts w:ascii="Garamond" w:hAnsi="Garamond" w:cs="Times New Roman"/>
          <w:sz w:val="24"/>
          <w:szCs w:val="20"/>
        </w:rPr>
        <w:t xml:space="preserve"> support the upskilling and career pathway development of the </w:t>
      </w:r>
      <w:r w:rsidR="005369BF">
        <w:rPr>
          <w:rFonts w:ascii="Garamond" w:hAnsi="Garamond" w:cs="Times New Roman"/>
          <w:sz w:val="24"/>
          <w:szCs w:val="20"/>
        </w:rPr>
        <w:t xml:space="preserve">large </w:t>
      </w:r>
      <w:r w:rsidR="009A1E60">
        <w:rPr>
          <w:rFonts w:ascii="Garamond" w:hAnsi="Garamond" w:cs="Times New Roman"/>
          <w:sz w:val="24"/>
          <w:szCs w:val="20"/>
        </w:rPr>
        <w:t>ESL population</w:t>
      </w:r>
      <w:r w:rsidR="002A3E33">
        <w:rPr>
          <w:rFonts w:ascii="Garamond" w:hAnsi="Garamond" w:cs="Times New Roman"/>
          <w:sz w:val="24"/>
          <w:szCs w:val="20"/>
        </w:rPr>
        <w:t>, and</w:t>
      </w:r>
      <w:r w:rsidR="009A1E60">
        <w:rPr>
          <w:rFonts w:ascii="Garamond" w:hAnsi="Garamond" w:cs="Times New Roman"/>
          <w:sz w:val="24"/>
          <w:szCs w:val="20"/>
        </w:rPr>
        <w:t xml:space="preserve"> recent years of anti-immigration politics and policy followed by the onset of the COVID pandemic have not helped matters.  This is a domain NMHED-AE would like to more formally </w:t>
      </w:r>
      <w:r w:rsidR="009A1E60">
        <w:rPr>
          <w:rFonts w:ascii="Garamond" w:hAnsi="Garamond" w:cs="Times New Roman"/>
          <w:sz w:val="24"/>
          <w:szCs w:val="20"/>
        </w:rPr>
        <w:lastRenderedPageBreak/>
        <w:t>address and prioritize in coming months and years</w:t>
      </w:r>
      <w:r w:rsidR="00372ED2">
        <w:rPr>
          <w:rFonts w:ascii="Garamond" w:hAnsi="Garamond" w:cs="Times New Roman"/>
          <w:sz w:val="24"/>
          <w:szCs w:val="20"/>
        </w:rPr>
        <w:t xml:space="preserve">, </w:t>
      </w:r>
      <w:r w:rsidR="005369BF">
        <w:rPr>
          <w:rFonts w:ascii="Garamond" w:hAnsi="Garamond" w:cs="Times New Roman"/>
          <w:sz w:val="24"/>
          <w:szCs w:val="20"/>
        </w:rPr>
        <w:t>including</w:t>
      </w:r>
      <w:r w:rsidR="002A3E33">
        <w:rPr>
          <w:rFonts w:ascii="Garamond" w:hAnsi="Garamond" w:cs="Times New Roman"/>
          <w:sz w:val="24"/>
          <w:szCs w:val="20"/>
        </w:rPr>
        <w:t xml:space="preserve"> as a</w:t>
      </w:r>
      <w:r w:rsidR="00372ED2">
        <w:rPr>
          <w:rFonts w:ascii="Garamond" w:hAnsi="Garamond" w:cs="Times New Roman"/>
          <w:sz w:val="24"/>
          <w:szCs w:val="20"/>
        </w:rPr>
        <w:t xml:space="preserve"> </w:t>
      </w:r>
      <w:r w:rsidR="00AF1DF8">
        <w:rPr>
          <w:rFonts w:ascii="Garamond" w:hAnsi="Garamond" w:cs="Times New Roman"/>
          <w:sz w:val="24"/>
          <w:szCs w:val="20"/>
        </w:rPr>
        <w:t>targeted focus</w:t>
      </w:r>
      <w:r w:rsidR="00372ED2">
        <w:rPr>
          <w:rFonts w:ascii="Garamond" w:hAnsi="Garamond" w:cs="Times New Roman"/>
          <w:sz w:val="24"/>
          <w:szCs w:val="20"/>
        </w:rPr>
        <w:t xml:space="preserve"> of longitudinal efforts with the JFF career pathways partnership.</w:t>
      </w:r>
      <w:r w:rsidR="009B2A80">
        <w:rPr>
          <w:rFonts w:ascii="Garamond" w:hAnsi="Garamond" w:cs="Times New Roman"/>
          <w:sz w:val="24"/>
          <w:szCs w:val="20"/>
        </w:rPr>
        <w:t xml:space="preserve">  New Mexico has not yet fully embraced the “ESL</w:t>
      </w:r>
      <w:r w:rsidR="00144118">
        <w:rPr>
          <w:rFonts w:ascii="Garamond" w:hAnsi="Garamond" w:cs="Times New Roman"/>
          <w:sz w:val="24"/>
          <w:szCs w:val="20"/>
        </w:rPr>
        <w:t xml:space="preserve"> </w:t>
      </w:r>
      <w:r w:rsidR="009B2A80">
        <w:rPr>
          <w:rFonts w:ascii="Garamond" w:hAnsi="Garamond" w:cs="Times New Roman"/>
          <w:sz w:val="24"/>
          <w:szCs w:val="20"/>
        </w:rPr>
        <w:t>side</w:t>
      </w:r>
      <w:r w:rsidR="00144118">
        <w:rPr>
          <w:rFonts w:ascii="Garamond" w:hAnsi="Garamond" w:cs="Times New Roman"/>
          <w:sz w:val="24"/>
          <w:szCs w:val="20"/>
        </w:rPr>
        <w:t>”</w:t>
      </w:r>
      <w:r w:rsidR="009B2A80">
        <w:rPr>
          <w:rFonts w:ascii="Garamond" w:hAnsi="Garamond" w:cs="Times New Roman"/>
          <w:sz w:val="24"/>
          <w:szCs w:val="20"/>
        </w:rPr>
        <w:t xml:space="preserve"> of the Adult Education house, so to speak. To find evidence of this, one </w:t>
      </w:r>
      <w:r w:rsidR="00B07475">
        <w:rPr>
          <w:rFonts w:ascii="Garamond" w:hAnsi="Garamond" w:cs="Times New Roman"/>
          <w:sz w:val="24"/>
          <w:szCs w:val="20"/>
        </w:rPr>
        <w:t>must</w:t>
      </w:r>
      <w:r w:rsidR="009B2A80">
        <w:rPr>
          <w:rFonts w:ascii="Garamond" w:hAnsi="Garamond" w:cs="Times New Roman"/>
          <w:sz w:val="24"/>
          <w:szCs w:val="20"/>
        </w:rPr>
        <w:t xml:space="preserve"> look no further than the fact that local programs reported limited</w:t>
      </w:r>
      <w:r w:rsidR="002801E8">
        <w:rPr>
          <w:rFonts w:ascii="Garamond" w:hAnsi="Garamond" w:cs="Times New Roman"/>
          <w:sz w:val="24"/>
          <w:szCs w:val="20"/>
        </w:rPr>
        <w:t>-</w:t>
      </w:r>
      <w:r w:rsidR="009B2A80">
        <w:rPr>
          <w:rFonts w:ascii="Garamond" w:hAnsi="Garamond" w:cs="Times New Roman"/>
          <w:sz w:val="24"/>
          <w:szCs w:val="20"/>
        </w:rPr>
        <w:t>to</w:t>
      </w:r>
      <w:r w:rsidR="002801E8">
        <w:rPr>
          <w:rFonts w:ascii="Garamond" w:hAnsi="Garamond" w:cs="Times New Roman"/>
          <w:sz w:val="24"/>
          <w:szCs w:val="20"/>
        </w:rPr>
        <w:t>-</w:t>
      </w:r>
      <w:r w:rsidR="009B2A80">
        <w:rPr>
          <w:rFonts w:ascii="Garamond" w:hAnsi="Garamond" w:cs="Times New Roman"/>
          <w:sz w:val="24"/>
          <w:szCs w:val="20"/>
        </w:rPr>
        <w:t>zero referrals on this basis from One Stops and core partners during this reporting period. Related NMHED-AE outreach and education efforts are slated to ramp up with organized efforts on multiple fronts in the coming year(s).</w:t>
      </w:r>
    </w:p>
    <w:p w:rsidR="00B3020F" w:rsidRDefault="002E405B" w:rsidP="00114E8D">
      <w:pPr>
        <w:spacing w:after="120"/>
        <w:rPr>
          <w:rFonts w:ascii="Garamond" w:hAnsi="Garamond" w:cs="Times New Roman"/>
          <w:b/>
          <w:sz w:val="24"/>
          <w:szCs w:val="20"/>
        </w:rPr>
      </w:pPr>
      <w:bookmarkStart w:id="3" w:name="_Hlk58939825"/>
      <w:r w:rsidRPr="00291455">
        <w:rPr>
          <w:rFonts w:ascii="Garamond" w:hAnsi="Garamond" w:cs="Times New Roman"/>
          <w:b/>
          <w:sz w:val="24"/>
          <w:szCs w:val="20"/>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r w:rsidR="00212D2F">
        <w:rPr>
          <w:rFonts w:ascii="Garamond" w:hAnsi="Garamond" w:cs="Times New Roman"/>
          <w:b/>
          <w:sz w:val="24"/>
          <w:szCs w:val="20"/>
        </w:rPr>
        <w:t>.</w:t>
      </w:r>
      <w:r w:rsidR="00B10BFF">
        <w:rPr>
          <w:rFonts w:ascii="Garamond" w:hAnsi="Garamond" w:cs="Times New Roman"/>
          <w:b/>
          <w:sz w:val="24"/>
          <w:szCs w:val="20"/>
        </w:rPr>
        <w:t xml:space="preserve">  </w:t>
      </w:r>
    </w:p>
    <w:p w:rsidR="00114E8D" w:rsidRPr="00B10BFF" w:rsidRDefault="00377B6F" w:rsidP="00114E8D">
      <w:pPr>
        <w:spacing w:after="120"/>
        <w:rPr>
          <w:rFonts w:ascii="Garamond" w:hAnsi="Garamond" w:cs="Times New Roman"/>
          <w:b/>
          <w:sz w:val="24"/>
          <w:szCs w:val="20"/>
        </w:rPr>
      </w:pPr>
      <w:r>
        <w:rPr>
          <w:rFonts w:ascii="Garamond" w:hAnsi="Garamond" w:cs="Times New Roman"/>
          <w:sz w:val="24"/>
          <w:szCs w:val="20"/>
        </w:rPr>
        <w:t>The six local program</w:t>
      </w:r>
      <w:r w:rsidR="00BD2980">
        <w:rPr>
          <w:rFonts w:ascii="Garamond" w:hAnsi="Garamond" w:cs="Times New Roman"/>
          <w:sz w:val="24"/>
          <w:szCs w:val="20"/>
        </w:rPr>
        <w:t>s</w:t>
      </w:r>
      <w:r>
        <w:rPr>
          <w:rFonts w:ascii="Garamond" w:hAnsi="Garamond" w:cs="Times New Roman"/>
          <w:sz w:val="24"/>
          <w:szCs w:val="20"/>
        </w:rPr>
        <w:t xml:space="preserve"> who receive IELCE funding all work </w:t>
      </w:r>
      <w:r w:rsidRPr="00377B6F">
        <w:rPr>
          <w:rFonts w:ascii="Garamond" w:hAnsi="Garamond" w:cs="Times New Roman"/>
          <w:sz w:val="24"/>
          <w:szCs w:val="20"/>
        </w:rPr>
        <w:t xml:space="preserve">with </w:t>
      </w:r>
      <w:r w:rsidR="00CB2AA4">
        <w:rPr>
          <w:rFonts w:ascii="Garamond" w:hAnsi="Garamond" w:cs="Times New Roman"/>
          <w:sz w:val="24"/>
          <w:szCs w:val="20"/>
        </w:rPr>
        <w:t xml:space="preserve">employers, </w:t>
      </w:r>
      <w:r w:rsidR="00B629AB">
        <w:rPr>
          <w:rFonts w:ascii="Garamond" w:hAnsi="Garamond" w:cs="Times New Roman"/>
          <w:sz w:val="24"/>
          <w:szCs w:val="20"/>
        </w:rPr>
        <w:t>One Stops</w:t>
      </w:r>
      <w:r w:rsidR="00CB2AA4">
        <w:rPr>
          <w:rFonts w:ascii="Garamond" w:hAnsi="Garamond" w:cs="Times New Roman"/>
          <w:sz w:val="24"/>
          <w:szCs w:val="20"/>
        </w:rPr>
        <w:t>,</w:t>
      </w:r>
      <w:r w:rsidR="00B629AB">
        <w:rPr>
          <w:rFonts w:ascii="Garamond" w:hAnsi="Garamond" w:cs="Times New Roman"/>
          <w:sz w:val="24"/>
          <w:szCs w:val="20"/>
        </w:rPr>
        <w:t xml:space="preserve"> and </w:t>
      </w:r>
      <w:r w:rsidRPr="00377B6F">
        <w:rPr>
          <w:rFonts w:ascii="Garamond" w:hAnsi="Garamond" w:cs="Times New Roman"/>
          <w:sz w:val="24"/>
          <w:szCs w:val="20"/>
        </w:rPr>
        <w:t xml:space="preserve">the LWDBs in the regions in which they provide services </w:t>
      </w:r>
      <w:r w:rsidR="00B629AB">
        <w:rPr>
          <w:rFonts w:ascii="Garamond" w:hAnsi="Garamond" w:cs="Times New Roman"/>
          <w:sz w:val="24"/>
          <w:szCs w:val="20"/>
        </w:rPr>
        <w:t>to garner support and help</w:t>
      </w:r>
      <w:r w:rsidRPr="00377B6F">
        <w:rPr>
          <w:rFonts w:ascii="Garamond" w:hAnsi="Garamond" w:cs="Times New Roman"/>
          <w:sz w:val="24"/>
          <w:szCs w:val="20"/>
        </w:rPr>
        <w:t xml:space="preserve"> determine </w:t>
      </w:r>
      <w:r w:rsidR="00CB2AA4">
        <w:rPr>
          <w:rFonts w:ascii="Garamond" w:hAnsi="Garamond" w:cs="Times New Roman"/>
          <w:sz w:val="24"/>
          <w:szCs w:val="20"/>
        </w:rPr>
        <w:t xml:space="preserve">needs and in-demand </w:t>
      </w:r>
      <w:r w:rsidRPr="00377B6F">
        <w:rPr>
          <w:rFonts w:ascii="Garamond" w:hAnsi="Garamond" w:cs="Times New Roman"/>
          <w:sz w:val="24"/>
          <w:szCs w:val="20"/>
        </w:rPr>
        <w:t xml:space="preserve">career </w:t>
      </w:r>
      <w:r w:rsidR="00CB2AA4">
        <w:rPr>
          <w:rFonts w:ascii="Garamond" w:hAnsi="Garamond" w:cs="Times New Roman"/>
          <w:sz w:val="24"/>
          <w:szCs w:val="20"/>
        </w:rPr>
        <w:t xml:space="preserve">and training </w:t>
      </w:r>
      <w:r w:rsidRPr="00377B6F">
        <w:rPr>
          <w:rFonts w:ascii="Garamond" w:hAnsi="Garamond" w:cs="Times New Roman"/>
          <w:sz w:val="24"/>
          <w:szCs w:val="20"/>
        </w:rPr>
        <w:t>opportunities</w:t>
      </w:r>
      <w:r w:rsidR="002A189B">
        <w:rPr>
          <w:rFonts w:ascii="Garamond" w:hAnsi="Garamond" w:cs="Times New Roman"/>
          <w:sz w:val="24"/>
          <w:szCs w:val="20"/>
        </w:rPr>
        <w:t>, and many of the State Leadership activities already described serve to support local program efforts.</w:t>
      </w:r>
      <w:r>
        <w:rPr>
          <w:rFonts w:ascii="Garamond" w:hAnsi="Garamond" w:cs="Times New Roman"/>
          <w:sz w:val="24"/>
          <w:szCs w:val="20"/>
        </w:rPr>
        <w:t xml:space="preserve">  </w:t>
      </w:r>
      <w:r w:rsidR="002A189B">
        <w:rPr>
          <w:rFonts w:ascii="Garamond" w:hAnsi="Garamond" w:cs="Times New Roman"/>
          <w:sz w:val="24"/>
          <w:szCs w:val="20"/>
        </w:rPr>
        <w:t>T</w:t>
      </w:r>
      <w:r>
        <w:rPr>
          <w:rFonts w:ascii="Garamond" w:hAnsi="Garamond" w:cs="Times New Roman"/>
          <w:sz w:val="24"/>
          <w:szCs w:val="20"/>
        </w:rPr>
        <w:t>wo programs in the Northern region</w:t>
      </w:r>
      <w:r w:rsidR="002A189B">
        <w:rPr>
          <w:rFonts w:ascii="Garamond" w:hAnsi="Garamond" w:cs="Times New Roman"/>
          <w:sz w:val="24"/>
          <w:szCs w:val="20"/>
        </w:rPr>
        <w:t xml:space="preserve"> who receive IELCE funding</w:t>
      </w:r>
      <w:r>
        <w:rPr>
          <w:rFonts w:ascii="Garamond" w:hAnsi="Garamond" w:cs="Times New Roman"/>
          <w:sz w:val="24"/>
          <w:szCs w:val="20"/>
        </w:rPr>
        <w:t xml:space="preserve"> have </w:t>
      </w:r>
      <w:r w:rsidR="00B629AB">
        <w:rPr>
          <w:rFonts w:ascii="Garamond" w:hAnsi="Garamond" w:cs="Times New Roman"/>
          <w:sz w:val="24"/>
          <w:szCs w:val="20"/>
        </w:rPr>
        <w:t xml:space="preserve">recently </w:t>
      </w:r>
      <w:r>
        <w:rPr>
          <w:rFonts w:ascii="Garamond" w:hAnsi="Garamond" w:cs="Times New Roman"/>
          <w:sz w:val="24"/>
          <w:szCs w:val="20"/>
        </w:rPr>
        <w:t>identified the hospitality and tourism industry as one in need of English for workforce preparation instruction in order to develop a more skilled workforce</w:t>
      </w:r>
      <w:r w:rsidR="002A189B">
        <w:rPr>
          <w:rFonts w:ascii="Garamond" w:hAnsi="Garamond" w:cs="Times New Roman"/>
          <w:sz w:val="24"/>
          <w:szCs w:val="20"/>
        </w:rPr>
        <w:t>, and local programs are ready and able to address such needs and requests.</w:t>
      </w:r>
      <w:r w:rsidR="00BD2980">
        <w:rPr>
          <w:rFonts w:ascii="Garamond" w:hAnsi="Garamond" w:cs="Times New Roman"/>
          <w:sz w:val="24"/>
          <w:szCs w:val="20"/>
        </w:rPr>
        <w:t xml:space="preserve">  B</w:t>
      </w:r>
      <w:r w:rsidR="000C7893">
        <w:rPr>
          <w:rFonts w:ascii="Garamond" w:hAnsi="Garamond" w:cs="Times New Roman"/>
          <w:sz w:val="24"/>
          <w:szCs w:val="20"/>
        </w:rPr>
        <w:t xml:space="preserve">ut </w:t>
      </w:r>
      <w:r w:rsidR="008C1816">
        <w:rPr>
          <w:rFonts w:ascii="Garamond" w:hAnsi="Garamond" w:cs="Times New Roman"/>
          <w:sz w:val="24"/>
          <w:szCs w:val="20"/>
        </w:rPr>
        <w:t>a</w:t>
      </w:r>
      <w:r w:rsidR="000C7893">
        <w:rPr>
          <w:rFonts w:ascii="Garamond" w:hAnsi="Garamond" w:cs="Times New Roman"/>
          <w:sz w:val="24"/>
          <w:szCs w:val="20"/>
        </w:rPr>
        <w:t xml:space="preserve"> key question </w:t>
      </w:r>
      <w:r w:rsidR="002A189B">
        <w:rPr>
          <w:rFonts w:ascii="Garamond" w:hAnsi="Garamond" w:cs="Times New Roman"/>
          <w:sz w:val="24"/>
          <w:szCs w:val="20"/>
        </w:rPr>
        <w:t xml:space="preserve">operating </w:t>
      </w:r>
      <w:r w:rsidR="000C7893">
        <w:rPr>
          <w:rFonts w:ascii="Garamond" w:hAnsi="Garamond" w:cs="Times New Roman"/>
          <w:sz w:val="24"/>
          <w:szCs w:val="20"/>
        </w:rPr>
        <w:t>in an employer-driven workforce system is:  And what else?</w:t>
      </w:r>
      <w:r>
        <w:rPr>
          <w:rFonts w:ascii="Garamond" w:hAnsi="Garamond" w:cs="Times New Roman"/>
          <w:sz w:val="24"/>
          <w:szCs w:val="20"/>
        </w:rPr>
        <w:t xml:space="preserve">  </w:t>
      </w:r>
      <w:r w:rsidR="00BD2980">
        <w:rPr>
          <w:rFonts w:ascii="Garamond" w:hAnsi="Garamond" w:cs="Times New Roman"/>
          <w:sz w:val="24"/>
          <w:szCs w:val="20"/>
        </w:rPr>
        <w:t xml:space="preserve">How can we create a more comprehensive win-win here?  </w:t>
      </w:r>
      <w:r w:rsidR="00CB2AA4">
        <w:rPr>
          <w:rFonts w:ascii="Garamond" w:hAnsi="Garamond" w:cs="Times New Roman"/>
          <w:sz w:val="24"/>
          <w:szCs w:val="20"/>
        </w:rPr>
        <w:t xml:space="preserve">One of the challenges </w:t>
      </w:r>
      <w:r w:rsidR="00BD2980">
        <w:rPr>
          <w:rFonts w:ascii="Garamond" w:hAnsi="Garamond" w:cs="Times New Roman"/>
          <w:sz w:val="24"/>
          <w:szCs w:val="20"/>
        </w:rPr>
        <w:t xml:space="preserve">in the hospitality and tourism </w:t>
      </w:r>
      <w:r w:rsidR="00975BD6">
        <w:rPr>
          <w:rFonts w:ascii="Garamond" w:hAnsi="Garamond" w:cs="Times New Roman"/>
          <w:sz w:val="24"/>
          <w:szCs w:val="20"/>
        </w:rPr>
        <w:t>industry</w:t>
      </w:r>
      <w:r w:rsidR="002A189B">
        <w:rPr>
          <w:rFonts w:ascii="Garamond" w:hAnsi="Garamond" w:cs="Times New Roman"/>
          <w:sz w:val="24"/>
          <w:szCs w:val="20"/>
        </w:rPr>
        <w:t>--</w:t>
      </w:r>
      <w:r w:rsidR="00BD2980">
        <w:rPr>
          <w:rFonts w:ascii="Garamond" w:hAnsi="Garamond" w:cs="Times New Roman"/>
          <w:sz w:val="24"/>
          <w:szCs w:val="20"/>
        </w:rPr>
        <w:t>important in many regions/locales in New Mexico--</w:t>
      </w:r>
      <w:r w:rsidR="00CB2AA4">
        <w:rPr>
          <w:rFonts w:ascii="Garamond" w:hAnsi="Garamond" w:cs="Times New Roman"/>
          <w:sz w:val="24"/>
          <w:szCs w:val="20"/>
        </w:rPr>
        <w:t xml:space="preserve">is low-paying employment with few </w:t>
      </w:r>
      <w:r w:rsidR="009552C2">
        <w:rPr>
          <w:rFonts w:ascii="Garamond" w:hAnsi="Garamond" w:cs="Times New Roman"/>
          <w:sz w:val="24"/>
          <w:szCs w:val="20"/>
        </w:rPr>
        <w:t>structurally-supported</w:t>
      </w:r>
      <w:r w:rsidR="00CB2AA4">
        <w:rPr>
          <w:rFonts w:ascii="Garamond" w:hAnsi="Garamond" w:cs="Times New Roman"/>
          <w:sz w:val="24"/>
          <w:szCs w:val="20"/>
        </w:rPr>
        <w:t xml:space="preserve"> opportunities </w:t>
      </w:r>
      <w:r w:rsidR="000C7893">
        <w:rPr>
          <w:rFonts w:ascii="Garamond" w:hAnsi="Garamond" w:cs="Times New Roman"/>
          <w:sz w:val="24"/>
          <w:szCs w:val="20"/>
        </w:rPr>
        <w:t>to earn</w:t>
      </w:r>
      <w:r w:rsidR="00CB2AA4">
        <w:rPr>
          <w:rFonts w:ascii="Garamond" w:hAnsi="Garamond" w:cs="Times New Roman"/>
          <w:sz w:val="24"/>
          <w:szCs w:val="20"/>
        </w:rPr>
        <w:t xml:space="preserve"> </w:t>
      </w:r>
      <w:r w:rsidR="000C7893">
        <w:rPr>
          <w:rFonts w:ascii="Garamond" w:hAnsi="Garamond" w:cs="Times New Roman"/>
          <w:sz w:val="24"/>
          <w:szCs w:val="20"/>
        </w:rPr>
        <w:t xml:space="preserve">family-sustaining wages or achieve </w:t>
      </w:r>
      <w:r w:rsidR="00CB2AA4">
        <w:rPr>
          <w:rFonts w:ascii="Garamond" w:hAnsi="Garamond" w:cs="Times New Roman"/>
          <w:sz w:val="24"/>
          <w:szCs w:val="20"/>
        </w:rPr>
        <w:t>career pathway progression.</w:t>
      </w:r>
      <w:r w:rsidR="00BD2980">
        <w:rPr>
          <w:rFonts w:ascii="Garamond" w:hAnsi="Garamond" w:cs="Times New Roman"/>
          <w:sz w:val="24"/>
          <w:szCs w:val="20"/>
        </w:rPr>
        <w:t xml:space="preserve">  This is one of the challenges we need to meet with creative solutions centrally involving the state’s employers</w:t>
      </w:r>
      <w:r w:rsidR="00D4351F">
        <w:rPr>
          <w:rFonts w:ascii="Garamond" w:hAnsi="Garamond" w:cs="Times New Roman"/>
          <w:sz w:val="24"/>
          <w:szCs w:val="20"/>
        </w:rPr>
        <w:t>, and NMHE</w:t>
      </w:r>
      <w:r w:rsidR="00A854F6">
        <w:rPr>
          <w:rFonts w:ascii="Garamond" w:hAnsi="Garamond" w:cs="Times New Roman"/>
          <w:sz w:val="24"/>
          <w:szCs w:val="20"/>
        </w:rPr>
        <w:t>D</w:t>
      </w:r>
      <w:r w:rsidR="00D4351F">
        <w:rPr>
          <w:rFonts w:ascii="Garamond" w:hAnsi="Garamond" w:cs="Times New Roman"/>
          <w:sz w:val="24"/>
          <w:szCs w:val="20"/>
        </w:rPr>
        <w:t xml:space="preserve"> and other state agencies like</w:t>
      </w:r>
      <w:r w:rsidR="000C4EEB">
        <w:rPr>
          <w:rFonts w:ascii="Garamond" w:hAnsi="Garamond" w:cs="Times New Roman"/>
          <w:sz w:val="24"/>
          <w:szCs w:val="20"/>
        </w:rPr>
        <w:t xml:space="preserve"> the Department of Workforce Solutions and </w:t>
      </w:r>
      <w:r w:rsidR="00D4351F">
        <w:rPr>
          <w:rFonts w:ascii="Garamond" w:hAnsi="Garamond" w:cs="Times New Roman"/>
          <w:sz w:val="24"/>
          <w:szCs w:val="20"/>
        </w:rPr>
        <w:t>the Economic Development Department could and should be active proponents and leaders in such efforts</w:t>
      </w:r>
      <w:r w:rsidR="00975BD6">
        <w:rPr>
          <w:rFonts w:ascii="Garamond" w:hAnsi="Garamond" w:cs="Times New Roman"/>
          <w:sz w:val="24"/>
          <w:szCs w:val="20"/>
        </w:rPr>
        <w:t>.</w:t>
      </w:r>
      <w:r w:rsidR="000C4EEB">
        <w:rPr>
          <w:rFonts w:ascii="Garamond" w:hAnsi="Garamond" w:cs="Times New Roman"/>
          <w:sz w:val="24"/>
          <w:szCs w:val="20"/>
        </w:rPr>
        <w:t xml:space="preserve">  Effective</w:t>
      </w:r>
      <w:r w:rsidR="009552C2">
        <w:rPr>
          <w:rFonts w:ascii="Garamond" w:hAnsi="Garamond" w:cs="Times New Roman"/>
          <w:sz w:val="24"/>
          <w:szCs w:val="20"/>
        </w:rPr>
        <w:t xml:space="preserve">, </w:t>
      </w:r>
      <w:r w:rsidR="000C4EEB">
        <w:rPr>
          <w:rFonts w:ascii="Garamond" w:hAnsi="Garamond" w:cs="Times New Roman"/>
          <w:sz w:val="24"/>
          <w:szCs w:val="20"/>
        </w:rPr>
        <w:t>creative</w:t>
      </w:r>
      <w:r w:rsidR="009552C2">
        <w:rPr>
          <w:rFonts w:ascii="Garamond" w:hAnsi="Garamond" w:cs="Times New Roman"/>
          <w:sz w:val="24"/>
          <w:szCs w:val="20"/>
        </w:rPr>
        <w:t>, comprehensive</w:t>
      </w:r>
      <w:r w:rsidR="000C4EEB">
        <w:rPr>
          <w:rFonts w:ascii="Garamond" w:hAnsi="Garamond" w:cs="Times New Roman"/>
          <w:sz w:val="24"/>
          <w:szCs w:val="20"/>
        </w:rPr>
        <w:t xml:space="preserve"> employer engagement is a very high State Plan priority,</w:t>
      </w:r>
      <w:r w:rsidR="00CD6345">
        <w:rPr>
          <w:rFonts w:ascii="Garamond" w:hAnsi="Garamond" w:cs="Times New Roman"/>
          <w:sz w:val="24"/>
          <w:szCs w:val="20"/>
        </w:rPr>
        <w:t xml:space="preserve"> </w:t>
      </w:r>
      <w:r w:rsidR="009552C2">
        <w:rPr>
          <w:rFonts w:ascii="Garamond" w:hAnsi="Garamond" w:cs="Times New Roman"/>
          <w:sz w:val="24"/>
          <w:szCs w:val="20"/>
        </w:rPr>
        <w:t>by all apparent measures</w:t>
      </w:r>
      <w:r w:rsidR="00CD6345">
        <w:rPr>
          <w:rFonts w:ascii="Garamond" w:hAnsi="Garamond" w:cs="Times New Roman"/>
          <w:sz w:val="24"/>
          <w:szCs w:val="20"/>
        </w:rPr>
        <w:t xml:space="preserve"> </w:t>
      </w:r>
      <w:r w:rsidR="009552C2">
        <w:rPr>
          <w:rFonts w:ascii="Garamond" w:hAnsi="Garamond" w:cs="Times New Roman"/>
          <w:sz w:val="24"/>
          <w:szCs w:val="20"/>
        </w:rPr>
        <w:t xml:space="preserve">in nascent stages </w:t>
      </w:r>
      <w:r w:rsidR="00CD6345">
        <w:rPr>
          <w:rFonts w:ascii="Garamond" w:hAnsi="Garamond" w:cs="Times New Roman"/>
          <w:sz w:val="24"/>
          <w:szCs w:val="20"/>
        </w:rPr>
        <w:t xml:space="preserve">of development </w:t>
      </w:r>
      <w:r w:rsidR="009552C2">
        <w:rPr>
          <w:rFonts w:ascii="Garamond" w:hAnsi="Garamond" w:cs="Times New Roman"/>
          <w:sz w:val="24"/>
          <w:szCs w:val="20"/>
        </w:rPr>
        <w:t xml:space="preserve">in </w:t>
      </w:r>
      <w:r w:rsidR="00C06C58">
        <w:rPr>
          <w:rFonts w:ascii="Garamond" w:hAnsi="Garamond" w:cs="Times New Roman"/>
          <w:sz w:val="24"/>
          <w:szCs w:val="20"/>
        </w:rPr>
        <w:t>New Mexico</w:t>
      </w:r>
      <w:r w:rsidR="009552C2">
        <w:rPr>
          <w:rFonts w:ascii="Garamond" w:hAnsi="Garamond" w:cs="Times New Roman"/>
          <w:sz w:val="24"/>
          <w:szCs w:val="20"/>
        </w:rPr>
        <w:t>. T</w:t>
      </w:r>
      <w:r w:rsidR="00DD4BAB">
        <w:rPr>
          <w:rFonts w:ascii="Garamond" w:hAnsi="Garamond" w:cs="Times New Roman"/>
          <w:sz w:val="24"/>
          <w:szCs w:val="20"/>
        </w:rPr>
        <w:t>he JFF partnership project</w:t>
      </w:r>
      <w:r w:rsidR="000C4EEB">
        <w:rPr>
          <w:rFonts w:ascii="Garamond" w:hAnsi="Garamond" w:cs="Times New Roman"/>
          <w:sz w:val="24"/>
          <w:szCs w:val="20"/>
        </w:rPr>
        <w:t xml:space="preserve"> is </w:t>
      </w:r>
      <w:r w:rsidR="00A21ACE">
        <w:rPr>
          <w:rFonts w:ascii="Garamond" w:hAnsi="Garamond" w:cs="Times New Roman"/>
          <w:sz w:val="24"/>
          <w:szCs w:val="20"/>
        </w:rPr>
        <w:t>ideally</w:t>
      </w:r>
      <w:r w:rsidR="000C4EEB">
        <w:rPr>
          <w:rFonts w:ascii="Garamond" w:hAnsi="Garamond" w:cs="Times New Roman"/>
          <w:sz w:val="24"/>
          <w:szCs w:val="20"/>
        </w:rPr>
        <w:t xml:space="preserve"> suited to help New Mexico address this </w:t>
      </w:r>
      <w:r w:rsidR="009552C2">
        <w:rPr>
          <w:rFonts w:ascii="Garamond" w:hAnsi="Garamond" w:cs="Times New Roman"/>
          <w:sz w:val="24"/>
          <w:szCs w:val="20"/>
        </w:rPr>
        <w:t xml:space="preserve">and other </w:t>
      </w:r>
      <w:r w:rsidR="000C4EEB">
        <w:rPr>
          <w:rFonts w:ascii="Garamond" w:hAnsi="Garamond" w:cs="Times New Roman"/>
          <w:sz w:val="24"/>
          <w:szCs w:val="20"/>
        </w:rPr>
        <w:t>priorit</w:t>
      </w:r>
      <w:r w:rsidR="009552C2">
        <w:rPr>
          <w:rFonts w:ascii="Garamond" w:hAnsi="Garamond" w:cs="Times New Roman"/>
          <w:sz w:val="24"/>
          <w:szCs w:val="20"/>
        </w:rPr>
        <w:t>ies</w:t>
      </w:r>
      <w:r w:rsidR="000C4EEB">
        <w:rPr>
          <w:rFonts w:ascii="Garamond" w:hAnsi="Garamond" w:cs="Times New Roman"/>
          <w:sz w:val="24"/>
          <w:szCs w:val="20"/>
        </w:rPr>
        <w:t xml:space="preserve"> moving forward.</w:t>
      </w:r>
    </w:p>
    <w:p w:rsidR="0038157E" w:rsidRPr="00377B6F" w:rsidRDefault="0038157E" w:rsidP="00114E8D">
      <w:pPr>
        <w:spacing w:after="120"/>
        <w:rPr>
          <w:rFonts w:ascii="Garamond" w:hAnsi="Garamond" w:cs="Times New Roman"/>
          <w:sz w:val="24"/>
          <w:szCs w:val="20"/>
        </w:rPr>
      </w:pPr>
    </w:p>
    <w:bookmarkEnd w:id="3"/>
    <w:p w:rsidR="00DD6327" w:rsidRDefault="00240833" w:rsidP="009560C4">
      <w:pPr>
        <w:spacing w:after="120"/>
        <w:rPr>
          <w:rFonts w:ascii="Garamond" w:hAnsi="Garamond" w:cs="Times New Roman"/>
          <w:b/>
          <w:sz w:val="24"/>
          <w:szCs w:val="20"/>
          <w:u w:val="single"/>
        </w:rPr>
      </w:pPr>
      <w:r>
        <w:rPr>
          <w:rFonts w:ascii="Garamond" w:hAnsi="Garamond" w:cs="Times New Roman"/>
          <w:b/>
          <w:sz w:val="24"/>
          <w:szCs w:val="20"/>
          <w:u w:val="single"/>
        </w:rPr>
        <w:t xml:space="preserve">5. </w:t>
      </w:r>
      <w:r w:rsidR="002E405B" w:rsidRPr="00D83B68">
        <w:rPr>
          <w:rFonts w:ascii="Garamond" w:hAnsi="Garamond" w:cs="Times New Roman"/>
          <w:b/>
          <w:sz w:val="24"/>
          <w:szCs w:val="20"/>
          <w:u w:val="single"/>
        </w:rPr>
        <w:t>Adult Education Standards: If your State has adopted new challenging K-12 standards under title I of the Elementary and Secondary Education Act of 1965, as amended, describe how your Adult Education content standards are aligned with those K-12 standards.</w:t>
      </w:r>
    </w:p>
    <w:p w:rsidR="00CD4220" w:rsidRDefault="00CB4910" w:rsidP="00FC3A5A">
      <w:pPr>
        <w:spacing w:after="120"/>
        <w:rPr>
          <w:rFonts w:ascii="Garamond" w:hAnsi="Garamond" w:cs="Times New Roman"/>
          <w:sz w:val="24"/>
          <w:szCs w:val="20"/>
        </w:rPr>
      </w:pPr>
      <w:r w:rsidRPr="004909EA">
        <w:rPr>
          <w:rFonts w:ascii="Garamond" w:hAnsi="Garamond" w:cs="Times New Roman"/>
          <w:sz w:val="24"/>
          <w:szCs w:val="20"/>
        </w:rPr>
        <w:t>In 2010, the New Mexico Legislature adopted the Common Core State Standards for K-1</w:t>
      </w:r>
      <w:r w:rsidR="00FC7C19" w:rsidRPr="004909EA">
        <w:rPr>
          <w:rFonts w:ascii="Garamond" w:hAnsi="Garamond" w:cs="Times New Roman"/>
          <w:sz w:val="24"/>
          <w:szCs w:val="20"/>
        </w:rPr>
        <w:t>2.</w:t>
      </w:r>
      <w:r w:rsidRPr="004909EA">
        <w:rPr>
          <w:rFonts w:ascii="Garamond" w:hAnsi="Garamond" w:cs="Times New Roman"/>
          <w:sz w:val="24"/>
          <w:szCs w:val="20"/>
        </w:rPr>
        <w:t xml:space="preserve"> </w:t>
      </w:r>
      <w:r w:rsidR="00D87C06" w:rsidRPr="004909EA">
        <w:rPr>
          <w:rFonts w:ascii="Garamond" w:hAnsi="Garamond"/>
          <w:sz w:val="24"/>
          <w:szCs w:val="24"/>
        </w:rPr>
        <w:t>NMHED</w:t>
      </w:r>
      <w:r w:rsidR="00B755CF" w:rsidRPr="004909EA">
        <w:rPr>
          <w:rFonts w:ascii="Garamond" w:hAnsi="Garamond"/>
          <w:sz w:val="24"/>
          <w:szCs w:val="24"/>
        </w:rPr>
        <w:t xml:space="preserve"> has adopted the College and Career Readiness Standards (CCRS) developed by </w:t>
      </w:r>
      <w:r w:rsidR="00871107" w:rsidRPr="004909EA">
        <w:rPr>
          <w:rFonts w:ascii="Garamond" w:hAnsi="Garamond"/>
          <w:sz w:val="24"/>
          <w:szCs w:val="24"/>
        </w:rPr>
        <w:t>OCTAE</w:t>
      </w:r>
      <w:r w:rsidR="00B755CF" w:rsidRPr="004909EA">
        <w:rPr>
          <w:rFonts w:ascii="Garamond" w:hAnsi="Garamond"/>
          <w:sz w:val="24"/>
          <w:szCs w:val="24"/>
        </w:rPr>
        <w:t xml:space="preserve"> to align with the Common Core</w:t>
      </w:r>
      <w:r w:rsidR="00B33A45" w:rsidRPr="004909EA">
        <w:rPr>
          <w:rFonts w:ascii="Garamond" w:hAnsi="Garamond"/>
          <w:sz w:val="24"/>
          <w:szCs w:val="24"/>
        </w:rPr>
        <w:t xml:space="preserve"> Standards</w:t>
      </w:r>
      <w:r w:rsidR="00B755CF" w:rsidRPr="004909EA">
        <w:rPr>
          <w:rFonts w:ascii="Garamond" w:hAnsi="Garamond"/>
          <w:sz w:val="24"/>
          <w:szCs w:val="24"/>
        </w:rPr>
        <w:t xml:space="preserve">.  All courseware </w:t>
      </w:r>
      <w:r w:rsidR="006F162D" w:rsidRPr="004909EA">
        <w:rPr>
          <w:rFonts w:ascii="Garamond" w:hAnsi="Garamond"/>
          <w:sz w:val="24"/>
          <w:szCs w:val="24"/>
        </w:rPr>
        <w:t xml:space="preserve">and lesson plans </w:t>
      </w:r>
      <w:r w:rsidR="00B755CF" w:rsidRPr="004909EA">
        <w:rPr>
          <w:rFonts w:ascii="Garamond" w:hAnsi="Garamond"/>
          <w:sz w:val="24"/>
          <w:szCs w:val="24"/>
        </w:rPr>
        <w:t>used by Adult Education programs statewide</w:t>
      </w:r>
      <w:r w:rsidR="00B33A45" w:rsidRPr="004909EA">
        <w:rPr>
          <w:rFonts w:ascii="Garamond" w:hAnsi="Garamond"/>
          <w:sz w:val="24"/>
          <w:szCs w:val="24"/>
        </w:rPr>
        <w:t xml:space="preserve"> </w:t>
      </w:r>
      <w:r w:rsidR="00B755CF" w:rsidRPr="004909EA">
        <w:rPr>
          <w:rFonts w:ascii="Garamond" w:hAnsi="Garamond"/>
          <w:sz w:val="24"/>
          <w:szCs w:val="24"/>
        </w:rPr>
        <w:t>must adhere to CCRS and thus align to the Common Core.</w:t>
      </w:r>
      <w:r w:rsidR="00B755CF">
        <w:rPr>
          <w:rFonts w:ascii="Garamond" w:hAnsi="Garamond" w:cs="Times New Roman"/>
          <w:sz w:val="24"/>
          <w:szCs w:val="20"/>
        </w:rPr>
        <w:t xml:space="preserve"> </w:t>
      </w:r>
      <w:r w:rsidR="00B27170">
        <w:rPr>
          <w:rFonts w:ascii="Garamond" w:hAnsi="Garamond" w:cs="Times New Roman"/>
          <w:sz w:val="24"/>
          <w:szCs w:val="20"/>
        </w:rPr>
        <w:t xml:space="preserve"> </w:t>
      </w:r>
      <w:r w:rsidR="00103CC5">
        <w:rPr>
          <w:rFonts w:ascii="Garamond" w:hAnsi="Garamond" w:cs="Times New Roman"/>
          <w:sz w:val="24"/>
          <w:szCs w:val="20"/>
        </w:rPr>
        <w:t>NMHED-AE has no significant changes on this front for this reporting period</w:t>
      </w:r>
      <w:r w:rsidR="00B755CF">
        <w:rPr>
          <w:rFonts w:ascii="Garamond" w:hAnsi="Garamond" w:cs="Times New Roman"/>
          <w:sz w:val="24"/>
          <w:szCs w:val="20"/>
        </w:rPr>
        <w:t>,</w:t>
      </w:r>
      <w:r w:rsidR="001A7DC7">
        <w:rPr>
          <w:rFonts w:ascii="Garamond" w:hAnsi="Garamond" w:cs="Times New Roman"/>
          <w:sz w:val="24"/>
          <w:szCs w:val="20"/>
        </w:rPr>
        <w:t xml:space="preserve"> other than to emphasize that all state-sponsored PD initiatives are designed in part to support local </w:t>
      </w:r>
      <w:r w:rsidR="001A34ED">
        <w:rPr>
          <w:rFonts w:ascii="Garamond" w:hAnsi="Garamond" w:cs="Times New Roman"/>
          <w:sz w:val="24"/>
          <w:szCs w:val="20"/>
        </w:rPr>
        <w:t xml:space="preserve">AE program </w:t>
      </w:r>
      <w:r w:rsidR="001A7DC7">
        <w:rPr>
          <w:rFonts w:ascii="Garamond" w:hAnsi="Garamond" w:cs="Times New Roman"/>
          <w:sz w:val="24"/>
          <w:szCs w:val="20"/>
        </w:rPr>
        <w:t xml:space="preserve">provider’s increased competency </w:t>
      </w:r>
      <w:r w:rsidR="00F96115">
        <w:rPr>
          <w:rFonts w:ascii="Garamond" w:hAnsi="Garamond" w:cs="Times New Roman"/>
          <w:sz w:val="24"/>
          <w:szCs w:val="20"/>
        </w:rPr>
        <w:t xml:space="preserve">with respect to </w:t>
      </w:r>
      <w:r w:rsidR="001A7DC7">
        <w:rPr>
          <w:rFonts w:ascii="Garamond" w:hAnsi="Garamond" w:cs="Times New Roman"/>
          <w:sz w:val="24"/>
          <w:szCs w:val="20"/>
        </w:rPr>
        <w:t xml:space="preserve">designing </w:t>
      </w:r>
      <w:r w:rsidR="00B755CF">
        <w:rPr>
          <w:rFonts w:ascii="Garamond" w:hAnsi="Garamond" w:cs="Times New Roman"/>
          <w:sz w:val="24"/>
          <w:szCs w:val="20"/>
        </w:rPr>
        <w:t>lessons and instruction</w:t>
      </w:r>
      <w:r w:rsidR="001A7DC7">
        <w:rPr>
          <w:rFonts w:ascii="Garamond" w:hAnsi="Garamond" w:cs="Times New Roman"/>
          <w:sz w:val="24"/>
          <w:szCs w:val="20"/>
        </w:rPr>
        <w:t xml:space="preserve"> aligned to CCRS</w:t>
      </w:r>
      <w:r w:rsidR="00054A3A">
        <w:rPr>
          <w:rFonts w:ascii="Garamond" w:hAnsi="Garamond" w:cs="Times New Roman"/>
          <w:sz w:val="24"/>
          <w:szCs w:val="20"/>
        </w:rPr>
        <w:t xml:space="preserve">, from the aforementioned CPI to the </w:t>
      </w:r>
      <w:r w:rsidR="003E5B0E">
        <w:rPr>
          <w:rFonts w:ascii="Garamond" w:hAnsi="Garamond" w:cs="Times New Roman"/>
          <w:sz w:val="24"/>
          <w:szCs w:val="20"/>
        </w:rPr>
        <w:t>(</w:t>
      </w:r>
      <w:r w:rsidR="00ED3AB5">
        <w:rPr>
          <w:rFonts w:ascii="Garamond" w:hAnsi="Garamond" w:cs="Times New Roman"/>
          <w:sz w:val="24"/>
          <w:szCs w:val="20"/>
        </w:rPr>
        <w:t>COVID-</w:t>
      </w:r>
      <w:r w:rsidR="003E5B0E">
        <w:rPr>
          <w:rFonts w:ascii="Garamond" w:hAnsi="Garamond" w:cs="Times New Roman"/>
          <w:sz w:val="24"/>
          <w:szCs w:val="20"/>
        </w:rPr>
        <w:t xml:space="preserve">interrupted) </w:t>
      </w:r>
      <w:r w:rsidR="00054A3A">
        <w:rPr>
          <w:rFonts w:ascii="Garamond" w:hAnsi="Garamond" w:cs="Times New Roman"/>
          <w:sz w:val="24"/>
          <w:szCs w:val="20"/>
        </w:rPr>
        <w:t>rollout of the statewide TBR initiative</w:t>
      </w:r>
      <w:r w:rsidR="0075133D">
        <w:rPr>
          <w:rFonts w:ascii="Garamond" w:hAnsi="Garamond" w:cs="Times New Roman"/>
          <w:sz w:val="24"/>
          <w:szCs w:val="20"/>
        </w:rPr>
        <w:t>.</w:t>
      </w:r>
    </w:p>
    <w:p w:rsidR="0083348E" w:rsidRDefault="0083348E" w:rsidP="00FC3A5A">
      <w:pPr>
        <w:spacing w:after="120"/>
        <w:rPr>
          <w:rFonts w:ascii="Garamond" w:hAnsi="Garamond" w:cs="Times New Roman"/>
          <w:sz w:val="24"/>
          <w:szCs w:val="20"/>
        </w:rPr>
      </w:pPr>
    </w:p>
    <w:p w:rsidR="00B3020F" w:rsidRPr="00FC3A5A" w:rsidRDefault="00B3020F" w:rsidP="00FC3A5A">
      <w:pPr>
        <w:spacing w:after="120"/>
        <w:rPr>
          <w:rFonts w:ascii="Garamond" w:hAnsi="Garamond" w:cs="Times New Roman"/>
          <w:sz w:val="24"/>
          <w:szCs w:val="20"/>
        </w:rPr>
      </w:pPr>
    </w:p>
    <w:p w:rsidR="002E405B" w:rsidRDefault="00240833" w:rsidP="00440945">
      <w:pPr>
        <w:rPr>
          <w:rFonts w:ascii="Garamond" w:hAnsi="Garamond" w:cs="Times New Roman"/>
          <w:b/>
          <w:sz w:val="24"/>
          <w:szCs w:val="20"/>
          <w:u w:val="single"/>
        </w:rPr>
      </w:pPr>
      <w:r>
        <w:rPr>
          <w:rFonts w:ascii="Garamond" w:hAnsi="Garamond" w:cs="Times New Roman"/>
          <w:b/>
          <w:sz w:val="24"/>
          <w:szCs w:val="20"/>
          <w:u w:val="single"/>
        </w:rPr>
        <w:lastRenderedPageBreak/>
        <w:t xml:space="preserve">6. </w:t>
      </w:r>
      <w:r w:rsidR="009560C4" w:rsidRPr="00B92F69">
        <w:rPr>
          <w:rFonts w:ascii="Garamond" w:hAnsi="Garamond" w:cs="Times New Roman"/>
          <w:b/>
          <w:sz w:val="24"/>
          <w:szCs w:val="20"/>
          <w:u w:val="single"/>
        </w:rPr>
        <w:t>Programs for Corrections Education and the Education of Other Institutionalized Individuals (AEFLA Section 225): What was the relative rate of recidivism for criminal offenders served? Please describe the methods and factors used in calculating the rate for this reporting period.</w:t>
      </w:r>
    </w:p>
    <w:p w:rsidR="00105457" w:rsidRPr="00717BDE" w:rsidRDefault="004B4DE1" w:rsidP="009560C4">
      <w:pPr>
        <w:spacing w:after="120"/>
        <w:rPr>
          <w:rFonts w:ascii="Garamond" w:hAnsi="Garamond" w:cs="Times New Roman"/>
          <w:sz w:val="24"/>
          <w:szCs w:val="20"/>
        </w:rPr>
      </w:pPr>
      <w:r w:rsidRPr="004B4DE1">
        <w:rPr>
          <w:rFonts w:ascii="Garamond" w:hAnsi="Garamond" w:cs="Times New Roman"/>
          <w:sz w:val="24"/>
          <w:szCs w:val="20"/>
        </w:rPr>
        <w:t xml:space="preserve">These data were provided to </w:t>
      </w:r>
      <w:r>
        <w:rPr>
          <w:rFonts w:ascii="Garamond" w:hAnsi="Garamond" w:cs="Times New Roman"/>
          <w:sz w:val="24"/>
          <w:szCs w:val="20"/>
        </w:rPr>
        <w:t>NMHED</w:t>
      </w:r>
      <w:r w:rsidR="00105457">
        <w:rPr>
          <w:rFonts w:ascii="Garamond" w:hAnsi="Garamond" w:cs="Times New Roman"/>
          <w:sz w:val="24"/>
          <w:szCs w:val="20"/>
        </w:rPr>
        <w:t>-</w:t>
      </w:r>
      <w:r>
        <w:rPr>
          <w:rFonts w:ascii="Garamond" w:hAnsi="Garamond" w:cs="Times New Roman"/>
          <w:sz w:val="24"/>
          <w:szCs w:val="20"/>
        </w:rPr>
        <w:t>AE</w:t>
      </w:r>
      <w:r w:rsidRPr="004B4DE1">
        <w:rPr>
          <w:rFonts w:ascii="Garamond" w:hAnsi="Garamond" w:cs="Times New Roman"/>
          <w:sz w:val="24"/>
          <w:szCs w:val="20"/>
        </w:rPr>
        <w:t xml:space="preserve"> by the New Mexico Corrections Department (NMCD) and were based on prison releases and institutional intakes where the intake occurs after the release date</w:t>
      </w:r>
      <w:r w:rsidR="00105457">
        <w:rPr>
          <w:rFonts w:ascii="Garamond" w:hAnsi="Garamond" w:cs="Times New Roman"/>
          <w:sz w:val="24"/>
          <w:szCs w:val="20"/>
        </w:rPr>
        <w:t>,</w:t>
      </w:r>
      <w:r w:rsidRPr="004B4DE1">
        <w:rPr>
          <w:rFonts w:ascii="Garamond" w:hAnsi="Garamond" w:cs="Times New Roman"/>
          <w:sz w:val="24"/>
          <w:szCs w:val="20"/>
        </w:rPr>
        <w:t xml:space="preserve"> indicating a return to custody status.  NMCD took </w:t>
      </w:r>
      <w:r w:rsidR="00770999">
        <w:rPr>
          <w:rFonts w:ascii="Garamond" w:hAnsi="Garamond" w:cs="Times New Roman"/>
          <w:sz w:val="24"/>
          <w:szCs w:val="20"/>
        </w:rPr>
        <w:t>‘</w:t>
      </w:r>
      <w:r w:rsidRPr="004B4DE1">
        <w:rPr>
          <w:rFonts w:ascii="Garamond" w:hAnsi="Garamond" w:cs="Times New Roman"/>
          <w:sz w:val="24"/>
          <w:szCs w:val="20"/>
        </w:rPr>
        <w:t>offenders</w:t>
      </w:r>
      <w:r w:rsidR="00770999">
        <w:rPr>
          <w:rFonts w:ascii="Garamond" w:hAnsi="Garamond" w:cs="Times New Roman"/>
          <w:sz w:val="24"/>
          <w:szCs w:val="20"/>
        </w:rPr>
        <w:t>’</w:t>
      </w:r>
      <w:r w:rsidRPr="004B4DE1">
        <w:rPr>
          <w:rFonts w:ascii="Garamond" w:hAnsi="Garamond" w:cs="Times New Roman"/>
          <w:sz w:val="24"/>
          <w:szCs w:val="20"/>
        </w:rPr>
        <w:t xml:space="preserve"> </w:t>
      </w:r>
      <w:r w:rsidR="00F94F41">
        <w:rPr>
          <w:rFonts w:ascii="Garamond" w:hAnsi="Garamond" w:cs="Times New Roman"/>
          <w:sz w:val="24"/>
          <w:szCs w:val="20"/>
        </w:rPr>
        <w:t xml:space="preserve">(sic) </w:t>
      </w:r>
      <w:r w:rsidRPr="004B4DE1">
        <w:rPr>
          <w:rFonts w:ascii="Garamond" w:hAnsi="Garamond" w:cs="Times New Roman"/>
          <w:sz w:val="24"/>
          <w:szCs w:val="20"/>
        </w:rPr>
        <w:t>from the NM</w:t>
      </w:r>
      <w:r w:rsidR="00770999">
        <w:rPr>
          <w:rFonts w:ascii="Garamond" w:hAnsi="Garamond" w:cs="Times New Roman"/>
          <w:sz w:val="24"/>
          <w:szCs w:val="20"/>
        </w:rPr>
        <w:t>HED-AE</w:t>
      </w:r>
      <w:r w:rsidRPr="004B4DE1">
        <w:rPr>
          <w:rFonts w:ascii="Garamond" w:hAnsi="Garamond" w:cs="Times New Roman"/>
          <w:sz w:val="24"/>
          <w:szCs w:val="20"/>
        </w:rPr>
        <w:t xml:space="preserve"> LACES database </w:t>
      </w:r>
      <w:r w:rsidR="00770999">
        <w:rPr>
          <w:rFonts w:ascii="Garamond" w:hAnsi="Garamond" w:cs="Times New Roman"/>
          <w:sz w:val="24"/>
          <w:szCs w:val="20"/>
        </w:rPr>
        <w:t>(</w:t>
      </w:r>
      <w:r w:rsidRPr="004B4DE1">
        <w:rPr>
          <w:rFonts w:ascii="Garamond" w:hAnsi="Garamond" w:cs="Times New Roman"/>
          <w:sz w:val="24"/>
          <w:szCs w:val="20"/>
        </w:rPr>
        <w:t>NRS Table 4</w:t>
      </w:r>
      <w:r w:rsidR="00770999">
        <w:rPr>
          <w:rFonts w:ascii="Garamond" w:hAnsi="Garamond" w:cs="Times New Roman"/>
          <w:sz w:val="24"/>
          <w:szCs w:val="20"/>
        </w:rPr>
        <w:t>)</w:t>
      </w:r>
      <w:r w:rsidRPr="004B4DE1">
        <w:rPr>
          <w:rFonts w:ascii="Garamond" w:hAnsi="Garamond" w:cs="Times New Roman"/>
          <w:sz w:val="24"/>
          <w:szCs w:val="20"/>
        </w:rPr>
        <w:t xml:space="preserve"> during FY1</w:t>
      </w:r>
      <w:r>
        <w:rPr>
          <w:rFonts w:ascii="Garamond" w:hAnsi="Garamond" w:cs="Times New Roman"/>
          <w:sz w:val="24"/>
          <w:szCs w:val="20"/>
        </w:rPr>
        <w:t>7</w:t>
      </w:r>
      <w:r w:rsidRPr="004B4DE1">
        <w:rPr>
          <w:rFonts w:ascii="Garamond" w:hAnsi="Garamond" w:cs="Times New Roman"/>
          <w:sz w:val="24"/>
          <w:szCs w:val="20"/>
        </w:rPr>
        <w:t xml:space="preserve"> and compared them against the population released during FY1</w:t>
      </w:r>
      <w:r>
        <w:rPr>
          <w:rFonts w:ascii="Garamond" w:hAnsi="Garamond" w:cs="Times New Roman"/>
          <w:sz w:val="24"/>
          <w:szCs w:val="20"/>
        </w:rPr>
        <w:t>7</w:t>
      </w:r>
      <w:r w:rsidRPr="004B4DE1">
        <w:rPr>
          <w:rFonts w:ascii="Garamond" w:hAnsi="Garamond" w:cs="Times New Roman"/>
          <w:sz w:val="24"/>
          <w:szCs w:val="20"/>
        </w:rPr>
        <w:t xml:space="preserve"> to determine the population from NRS Table 4 that were released. NMCD then calculated the recidivism rate for the overall population released in FY1</w:t>
      </w:r>
      <w:r>
        <w:rPr>
          <w:rFonts w:ascii="Garamond" w:hAnsi="Garamond" w:cs="Times New Roman"/>
          <w:sz w:val="24"/>
          <w:szCs w:val="20"/>
        </w:rPr>
        <w:t>7</w:t>
      </w:r>
      <w:r w:rsidRPr="004B4DE1">
        <w:rPr>
          <w:rFonts w:ascii="Garamond" w:hAnsi="Garamond" w:cs="Times New Roman"/>
          <w:sz w:val="24"/>
          <w:szCs w:val="20"/>
        </w:rPr>
        <w:t xml:space="preserve"> and those</w:t>
      </w:r>
      <w:r w:rsidR="00770999">
        <w:rPr>
          <w:rFonts w:ascii="Garamond" w:hAnsi="Garamond" w:cs="Times New Roman"/>
          <w:sz w:val="24"/>
          <w:szCs w:val="20"/>
        </w:rPr>
        <w:t xml:space="preserve"> individuals</w:t>
      </w:r>
      <w:r w:rsidRPr="004B4DE1">
        <w:rPr>
          <w:rFonts w:ascii="Garamond" w:hAnsi="Garamond" w:cs="Times New Roman"/>
          <w:sz w:val="24"/>
          <w:szCs w:val="20"/>
        </w:rPr>
        <w:t xml:space="preserve"> who returned to </w:t>
      </w:r>
      <w:r w:rsidR="00770999">
        <w:rPr>
          <w:rFonts w:ascii="Garamond" w:hAnsi="Garamond" w:cs="Times New Roman"/>
          <w:sz w:val="24"/>
          <w:szCs w:val="20"/>
        </w:rPr>
        <w:t>NMCD</w:t>
      </w:r>
      <w:r w:rsidRPr="004B4DE1">
        <w:rPr>
          <w:rFonts w:ascii="Garamond" w:hAnsi="Garamond" w:cs="Times New Roman"/>
          <w:sz w:val="24"/>
          <w:szCs w:val="20"/>
        </w:rPr>
        <w:t xml:space="preserve"> custody within a </w:t>
      </w:r>
      <w:r w:rsidR="00BA222E" w:rsidRPr="004B4DE1">
        <w:rPr>
          <w:rFonts w:ascii="Garamond" w:hAnsi="Garamond" w:cs="Times New Roman"/>
          <w:sz w:val="24"/>
          <w:szCs w:val="20"/>
        </w:rPr>
        <w:t>3-year</w:t>
      </w:r>
      <w:r w:rsidRPr="004B4DE1">
        <w:rPr>
          <w:rFonts w:ascii="Garamond" w:hAnsi="Garamond" w:cs="Times New Roman"/>
          <w:sz w:val="24"/>
          <w:szCs w:val="20"/>
        </w:rPr>
        <w:t xml:space="preserve"> time period, and </w:t>
      </w:r>
      <w:r w:rsidR="00770999">
        <w:rPr>
          <w:rFonts w:ascii="Garamond" w:hAnsi="Garamond" w:cs="Times New Roman"/>
          <w:sz w:val="24"/>
          <w:szCs w:val="20"/>
        </w:rPr>
        <w:t xml:space="preserve">then </w:t>
      </w:r>
      <w:r w:rsidRPr="004B4DE1">
        <w:rPr>
          <w:rFonts w:ascii="Garamond" w:hAnsi="Garamond" w:cs="Times New Roman"/>
          <w:sz w:val="24"/>
          <w:szCs w:val="20"/>
        </w:rPr>
        <w:t xml:space="preserve">further broke it down by those </w:t>
      </w:r>
      <w:r w:rsidR="00790692">
        <w:rPr>
          <w:rFonts w:ascii="Garamond" w:hAnsi="Garamond" w:cs="Times New Roman"/>
          <w:sz w:val="24"/>
          <w:szCs w:val="20"/>
        </w:rPr>
        <w:t>who</w:t>
      </w:r>
      <w:r w:rsidRPr="004B4DE1">
        <w:rPr>
          <w:rFonts w:ascii="Garamond" w:hAnsi="Garamond" w:cs="Times New Roman"/>
          <w:sz w:val="24"/>
          <w:szCs w:val="20"/>
        </w:rPr>
        <w:t xml:space="preserve"> met the NRS Table 4 criteria (adult education students) and those that did not meet the NRS Table 4 criteria (not adult education </w:t>
      </w:r>
      <w:r w:rsidR="00E92C3D">
        <w:rPr>
          <w:rFonts w:ascii="Garamond" w:hAnsi="Garamond" w:cs="Times New Roman"/>
          <w:sz w:val="24"/>
          <w:szCs w:val="20"/>
        </w:rPr>
        <w:t>students</w:t>
      </w:r>
      <w:r w:rsidRPr="004B4DE1">
        <w:rPr>
          <w:rFonts w:ascii="Garamond" w:hAnsi="Garamond" w:cs="Times New Roman"/>
          <w:sz w:val="24"/>
          <w:szCs w:val="20"/>
        </w:rPr>
        <w:t>).</w:t>
      </w:r>
      <w:r w:rsidR="00662E7B">
        <w:rPr>
          <w:rFonts w:ascii="Garamond" w:hAnsi="Garamond" w:cs="Times New Roman"/>
          <w:sz w:val="24"/>
          <w:szCs w:val="20"/>
        </w:rPr>
        <w:t xml:space="preserve">  </w:t>
      </w:r>
      <w:r w:rsidR="0030492C" w:rsidRPr="0030492C">
        <w:rPr>
          <w:rFonts w:ascii="Garamond" w:hAnsi="Garamond" w:cs="Times New Roman"/>
          <w:sz w:val="24"/>
          <w:szCs w:val="20"/>
          <w:u w:val="single"/>
        </w:rPr>
        <w:t>Note</w:t>
      </w:r>
      <w:r w:rsidR="0030492C">
        <w:rPr>
          <w:rFonts w:ascii="Garamond" w:hAnsi="Garamond" w:cs="Times New Roman"/>
          <w:sz w:val="24"/>
          <w:szCs w:val="20"/>
        </w:rPr>
        <w:t xml:space="preserve">:  </w:t>
      </w:r>
      <w:r w:rsidR="00662E7B">
        <w:rPr>
          <w:rFonts w:ascii="Garamond" w:hAnsi="Garamond" w:cs="Times New Roman"/>
          <w:sz w:val="24"/>
          <w:szCs w:val="20"/>
        </w:rPr>
        <w:t xml:space="preserve">NMHED-AE strongly encourages </w:t>
      </w:r>
      <w:r w:rsidR="00E074DB">
        <w:rPr>
          <w:rFonts w:ascii="Garamond" w:hAnsi="Garamond" w:cs="Times New Roman"/>
          <w:sz w:val="24"/>
          <w:szCs w:val="20"/>
        </w:rPr>
        <w:t>USDE/</w:t>
      </w:r>
      <w:r w:rsidR="00662E7B">
        <w:rPr>
          <w:rFonts w:ascii="Garamond" w:hAnsi="Garamond" w:cs="Times New Roman"/>
          <w:sz w:val="24"/>
          <w:szCs w:val="20"/>
        </w:rPr>
        <w:t xml:space="preserve">OCTAE to </w:t>
      </w:r>
      <w:r w:rsidR="0030492C">
        <w:rPr>
          <w:rFonts w:ascii="Garamond" w:hAnsi="Garamond" w:cs="Times New Roman"/>
          <w:sz w:val="24"/>
          <w:szCs w:val="20"/>
        </w:rPr>
        <w:t>explore</w:t>
      </w:r>
      <w:r w:rsidR="00E074DB">
        <w:rPr>
          <w:rFonts w:ascii="Garamond" w:hAnsi="Garamond" w:cs="Times New Roman"/>
          <w:sz w:val="24"/>
          <w:szCs w:val="20"/>
        </w:rPr>
        <w:t xml:space="preserve"> and </w:t>
      </w:r>
      <w:r w:rsidR="00662E7B">
        <w:rPr>
          <w:rFonts w:ascii="Garamond" w:hAnsi="Garamond" w:cs="Times New Roman"/>
          <w:sz w:val="24"/>
          <w:szCs w:val="20"/>
        </w:rPr>
        <w:t xml:space="preserve">develop additional reporting emphases related to Adult Education programming </w:t>
      </w:r>
      <w:r w:rsidR="0030492C">
        <w:rPr>
          <w:rFonts w:ascii="Garamond" w:hAnsi="Garamond" w:cs="Times New Roman"/>
          <w:sz w:val="24"/>
          <w:szCs w:val="20"/>
        </w:rPr>
        <w:t>in a Corrections setting</w:t>
      </w:r>
      <w:r w:rsidR="007E536E">
        <w:rPr>
          <w:rFonts w:ascii="Garamond" w:hAnsi="Garamond" w:cs="Times New Roman"/>
          <w:sz w:val="24"/>
          <w:szCs w:val="20"/>
        </w:rPr>
        <w:t xml:space="preserve">, </w:t>
      </w:r>
      <w:r w:rsidR="006C2CF5">
        <w:rPr>
          <w:rFonts w:ascii="Garamond" w:hAnsi="Garamond" w:cs="Times New Roman"/>
          <w:sz w:val="24"/>
          <w:szCs w:val="20"/>
        </w:rPr>
        <w:t>emphases</w:t>
      </w:r>
      <w:r w:rsidR="0030492C">
        <w:rPr>
          <w:rFonts w:ascii="Garamond" w:hAnsi="Garamond" w:cs="Times New Roman"/>
          <w:sz w:val="24"/>
          <w:szCs w:val="20"/>
        </w:rPr>
        <w:t xml:space="preserve"> </w:t>
      </w:r>
      <w:r w:rsidR="00662E7B">
        <w:rPr>
          <w:rFonts w:ascii="Garamond" w:hAnsi="Garamond" w:cs="Times New Roman"/>
          <w:sz w:val="24"/>
          <w:szCs w:val="20"/>
        </w:rPr>
        <w:t xml:space="preserve">that go beyond </w:t>
      </w:r>
      <w:r w:rsidR="006C2CF5">
        <w:rPr>
          <w:rFonts w:ascii="Garamond" w:hAnsi="Garamond" w:cs="Times New Roman"/>
          <w:sz w:val="24"/>
          <w:szCs w:val="20"/>
        </w:rPr>
        <w:t xml:space="preserve">just </w:t>
      </w:r>
      <w:r w:rsidR="00662E7B">
        <w:rPr>
          <w:rFonts w:ascii="Garamond" w:hAnsi="Garamond" w:cs="Times New Roman"/>
          <w:sz w:val="24"/>
          <w:szCs w:val="20"/>
        </w:rPr>
        <w:t>recidivism rate reporting</w:t>
      </w:r>
      <w:r w:rsidR="008C1816">
        <w:rPr>
          <w:rFonts w:ascii="Garamond" w:hAnsi="Garamond" w:cs="Times New Roman"/>
          <w:sz w:val="24"/>
          <w:szCs w:val="20"/>
        </w:rPr>
        <w:t>.  R</w:t>
      </w:r>
      <w:r w:rsidR="00C64E59">
        <w:rPr>
          <w:rFonts w:ascii="Garamond" w:hAnsi="Garamond" w:cs="Times New Roman"/>
          <w:sz w:val="24"/>
          <w:szCs w:val="20"/>
        </w:rPr>
        <w:t>ecidivism rate</w:t>
      </w:r>
      <w:r w:rsidR="00662E7B">
        <w:rPr>
          <w:rFonts w:ascii="Garamond" w:hAnsi="Garamond" w:cs="Times New Roman"/>
          <w:sz w:val="24"/>
          <w:szCs w:val="20"/>
        </w:rPr>
        <w:t xml:space="preserve"> is a distal measure and </w:t>
      </w:r>
      <w:r w:rsidR="00AD7075">
        <w:rPr>
          <w:rFonts w:ascii="Garamond" w:hAnsi="Garamond" w:cs="Times New Roman"/>
          <w:sz w:val="24"/>
          <w:szCs w:val="20"/>
        </w:rPr>
        <w:t xml:space="preserve">while </w:t>
      </w:r>
      <w:r w:rsidR="00C64E59">
        <w:rPr>
          <w:rFonts w:ascii="Garamond" w:hAnsi="Garamond" w:cs="Times New Roman"/>
          <w:sz w:val="24"/>
          <w:szCs w:val="20"/>
        </w:rPr>
        <w:t xml:space="preserve">globally </w:t>
      </w:r>
      <w:r w:rsidR="00AD7075">
        <w:rPr>
          <w:rFonts w:ascii="Garamond" w:hAnsi="Garamond" w:cs="Times New Roman"/>
          <w:sz w:val="24"/>
          <w:szCs w:val="20"/>
        </w:rPr>
        <w:t xml:space="preserve">relevant, </w:t>
      </w:r>
      <w:r w:rsidR="00C64E59">
        <w:rPr>
          <w:rFonts w:ascii="Garamond" w:hAnsi="Garamond" w:cs="Times New Roman"/>
          <w:sz w:val="24"/>
          <w:szCs w:val="20"/>
        </w:rPr>
        <w:t xml:space="preserve">it is </w:t>
      </w:r>
      <w:r w:rsidR="00AD7075">
        <w:rPr>
          <w:rFonts w:ascii="Garamond" w:hAnsi="Garamond" w:cs="Times New Roman"/>
          <w:sz w:val="24"/>
          <w:szCs w:val="20"/>
        </w:rPr>
        <w:t>o</w:t>
      </w:r>
      <w:r w:rsidR="0030492C">
        <w:rPr>
          <w:rFonts w:ascii="Garamond" w:hAnsi="Garamond" w:cs="Times New Roman"/>
          <w:sz w:val="24"/>
          <w:szCs w:val="20"/>
        </w:rPr>
        <w:t xml:space="preserve">nly </w:t>
      </w:r>
      <w:r w:rsidR="00662E7B">
        <w:rPr>
          <w:rFonts w:ascii="Garamond" w:hAnsi="Garamond" w:cs="Times New Roman"/>
          <w:sz w:val="24"/>
          <w:szCs w:val="20"/>
        </w:rPr>
        <w:t xml:space="preserve">indirectly related </w:t>
      </w:r>
      <w:r w:rsidR="00AD7075">
        <w:rPr>
          <w:rFonts w:ascii="Garamond" w:hAnsi="Garamond" w:cs="Times New Roman"/>
          <w:sz w:val="24"/>
          <w:szCs w:val="20"/>
        </w:rPr>
        <w:t>to</w:t>
      </w:r>
      <w:r w:rsidR="006C2CF5">
        <w:rPr>
          <w:rFonts w:ascii="Garamond" w:hAnsi="Garamond" w:cs="Times New Roman"/>
          <w:sz w:val="24"/>
          <w:szCs w:val="20"/>
        </w:rPr>
        <w:t xml:space="preserve"> </w:t>
      </w:r>
      <w:r w:rsidR="00662E7B">
        <w:rPr>
          <w:rFonts w:ascii="Garamond" w:hAnsi="Garamond" w:cs="Times New Roman"/>
          <w:sz w:val="24"/>
          <w:szCs w:val="20"/>
        </w:rPr>
        <w:t>actual AE program efficacy</w:t>
      </w:r>
      <w:r w:rsidR="00121FD5">
        <w:rPr>
          <w:rFonts w:ascii="Garamond" w:hAnsi="Garamond" w:cs="Times New Roman"/>
          <w:sz w:val="24"/>
          <w:szCs w:val="20"/>
        </w:rPr>
        <w:t>.</w:t>
      </w:r>
      <w:r w:rsidR="00E074DB">
        <w:rPr>
          <w:rFonts w:ascii="Garamond" w:hAnsi="Garamond" w:cs="Times New Roman"/>
          <w:sz w:val="24"/>
          <w:szCs w:val="20"/>
        </w:rPr>
        <w:t xml:space="preserve">  Corrections Education is a complex matter involving complicated systems within systems</w:t>
      </w:r>
      <w:r w:rsidR="00352A24">
        <w:rPr>
          <w:rFonts w:ascii="Garamond" w:hAnsi="Garamond" w:cs="Times New Roman"/>
          <w:sz w:val="24"/>
          <w:szCs w:val="20"/>
        </w:rPr>
        <w:t xml:space="preserve">, </w:t>
      </w:r>
      <w:r w:rsidR="008C1816">
        <w:rPr>
          <w:rFonts w:ascii="Garamond" w:hAnsi="Garamond" w:cs="Times New Roman"/>
          <w:sz w:val="24"/>
          <w:szCs w:val="20"/>
        </w:rPr>
        <w:t>even more so than many other complex system-related matters involving Adult Education.</w:t>
      </w:r>
      <w:r w:rsidR="00CE1270">
        <w:rPr>
          <w:rFonts w:ascii="Garamond" w:hAnsi="Garamond" w:cs="Times New Roman"/>
          <w:sz w:val="24"/>
          <w:szCs w:val="20"/>
        </w:rPr>
        <w:t xml:space="preserve"> </w:t>
      </w:r>
      <w:r w:rsidR="007F2BFE">
        <w:rPr>
          <w:rFonts w:ascii="Garamond" w:hAnsi="Garamond" w:cs="Times New Roman"/>
          <w:sz w:val="24"/>
          <w:szCs w:val="20"/>
        </w:rPr>
        <w:t>(</w:t>
      </w:r>
      <w:r w:rsidR="002515C2">
        <w:rPr>
          <w:rFonts w:ascii="Garamond" w:hAnsi="Garamond" w:cs="Times New Roman"/>
          <w:sz w:val="24"/>
          <w:szCs w:val="20"/>
        </w:rPr>
        <w:t>D</w:t>
      </w:r>
      <w:r w:rsidR="00CE1270">
        <w:rPr>
          <w:rFonts w:ascii="Garamond" w:hAnsi="Garamond" w:cs="Times New Roman"/>
          <w:sz w:val="24"/>
          <w:szCs w:val="20"/>
        </w:rPr>
        <w:t xml:space="preserve">uring this reporting period, the NMHED-AE Outreach Coordinator was appointed to serve on a </w:t>
      </w:r>
      <w:r w:rsidR="007F2BFE">
        <w:rPr>
          <w:rFonts w:ascii="Garamond" w:hAnsi="Garamond" w:cs="Times New Roman"/>
          <w:sz w:val="24"/>
          <w:szCs w:val="20"/>
        </w:rPr>
        <w:t xml:space="preserve">national </w:t>
      </w:r>
      <w:r w:rsidR="00CE1270">
        <w:rPr>
          <w:rFonts w:ascii="Garamond" w:hAnsi="Garamond" w:cs="Times New Roman"/>
          <w:sz w:val="24"/>
          <w:szCs w:val="20"/>
        </w:rPr>
        <w:t>Barbara Bush Foundation for Family Literacy Corrections Education task force</w:t>
      </w:r>
      <w:r w:rsidR="00E60BE2">
        <w:rPr>
          <w:rFonts w:ascii="Garamond" w:hAnsi="Garamond" w:cs="Times New Roman"/>
          <w:sz w:val="24"/>
          <w:szCs w:val="20"/>
        </w:rPr>
        <w:t xml:space="preserve">, with </w:t>
      </w:r>
      <w:r w:rsidR="007F2BFE">
        <w:rPr>
          <w:rFonts w:ascii="Garamond" w:hAnsi="Garamond" w:cs="Times New Roman"/>
          <w:sz w:val="24"/>
          <w:szCs w:val="20"/>
        </w:rPr>
        <w:t xml:space="preserve">relevant </w:t>
      </w:r>
      <w:r w:rsidR="00E60BE2">
        <w:rPr>
          <w:rFonts w:ascii="Garamond" w:hAnsi="Garamond" w:cs="Times New Roman"/>
          <w:sz w:val="24"/>
          <w:szCs w:val="20"/>
        </w:rPr>
        <w:t>report</w:t>
      </w:r>
      <w:r w:rsidR="00A854F6">
        <w:rPr>
          <w:rFonts w:ascii="Garamond" w:hAnsi="Garamond" w:cs="Times New Roman"/>
          <w:sz w:val="24"/>
          <w:szCs w:val="20"/>
        </w:rPr>
        <w:t xml:space="preserve"> releases</w:t>
      </w:r>
      <w:r w:rsidR="00E60BE2">
        <w:rPr>
          <w:rFonts w:ascii="Garamond" w:hAnsi="Garamond" w:cs="Times New Roman"/>
          <w:sz w:val="24"/>
          <w:szCs w:val="20"/>
        </w:rPr>
        <w:t xml:space="preserve"> scheduled for this year.</w:t>
      </w:r>
      <w:r w:rsidR="007F2BFE">
        <w:rPr>
          <w:rFonts w:ascii="Garamond" w:hAnsi="Garamond" w:cs="Times New Roman"/>
          <w:sz w:val="24"/>
          <w:szCs w:val="20"/>
        </w:rPr>
        <w:t>)</w:t>
      </w:r>
    </w:p>
    <w:p w:rsidR="009C0DED" w:rsidRDefault="009C0DED" w:rsidP="009C0DED">
      <w:pPr>
        <w:spacing w:before="64"/>
        <w:ind w:left="1418" w:right="1437"/>
        <w:jc w:val="center"/>
        <w:rPr>
          <w:b/>
          <w:sz w:val="23"/>
        </w:rPr>
      </w:pPr>
      <w:r>
        <w:rPr>
          <w:b/>
          <w:sz w:val="23"/>
        </w:rPr>
        <w:t>Recidivism Analysis</w:t>
      </w:r>
    </w:p>
    <w:p w:rsidR="009C0DED" w:rsidRDefault="009C0DED" w:rsidP="009C0DED">
      <w:pPr>
        <w:pStyle w:val="BodyText"/>
        <w:spacing w:before="9"/>
        <w:rPr>
          <w:b/>
          <w:sz w:val="19"/>
        </w:rPr>
      </w:pPr>
    </w:p>
    <w:p w:rsidR="009C0DED" w:rsidRDefault="009C0DED" w:rsidP="009C0DED">
      <w:pPr>
        <w:pStyle w:val="BodyText"/>
        <w:spacing w:before="93"/>
        <w:ind w:left="1418" w:right="1475"/>
        <w:jc w:val="center"/>
      </w:pPr>
      <w:r>
        <w:t>Offenders released from custody between 7/1/2016 and 6/30/2017 and returned to custody within 36 months.</w:t>
      </w:r>
    </w:p>
    <w:p w:rsidR="009C0DED" w:rsidRDefault="009C0DED" w:rsidP="009C0DED">
      <w:pPr>
        <w:pStyle w:val="BodyText"/>
        <w:spacing w:before="154"/>
        <w:ind w:left="1418" w:right="1447"/>
        <w:jc w:val="center"/>
      </w:pPr>
      <w:r>
        <w:t>Data for this analysis is complete</w:t>
      </w:r>
    </w:p>
    <w:p w:rsidR="009C0DED" w:rsidRDefault="009C0DED" w:rsidP="009C0DED">
      <w:pPr>
        <w:pStyle w:val="BodyText"/>
        <w:spacing w:before="11"/>
        <w:rPr>
          <w:sz w:val="15"/>
        </w:rPr>
      </w:pPr>
    </w:p>
    <w:p w:rsidR="009C0DED" w:rsidRDefault="009C0DED" w:rsidP="009C0DED">
      <w:pPr>
        <w:ind w:left="460"/>
        <w:rPr>
          <w:b/>
          <w:sz w:val="17"/>
        </w:rPr>
      </w:pPr>
      <w:r>
        <w:rPr>
          <w:b/>
          <w:w w:val="105"/>
          <w:sz w:val="17"/>
        </w:rPr>
        <w:t>All Releases</w:t>
      </w:r>
    </w:p>
    <w:p w:rsidR="009C0DED" w:rsidRDefault="009C0DED" w:rsidP="009C0DED">
      <w:pPr>
        <w:pStyle w:val="BodyText"/>
        <w:spacing w:before="5"/>
        <w:rPr>
          <w:b/>
          <w:sz w:val="13"/>
        </w:rPr>
      </w:pPr>
    </w:p>
    <w:tbl>
      <w:tblPr>
        <w:tblW w:w="9886" w:type="dxa"/>
        <w:tblInd w:w="537" w:type="dxa"/>
        <w:tblLayout w:type="fixed"/>
        <w:tblCellMar>
          <w:left w:w="0" w:type="dxa"/>
          <w:right w:w="0" w:type="dxa"/>
        </w:tblCellMar>
        <w:tblLook w:val="01E0" w:firstRow="1" w:lastRow="1" w:firstColumn="1" w:lastColumn="1" w:noHBand="0" w:noVBand="0"/>
      </w:tblPr>
      <w:tblGrid>
        <w:gridCol w:w="1915"/>
        <w:gridCol w:w="946"/>
        <w:gridCol w:w="1205"/>
        <w:gridCol w:w="2237"/>
        <w:gridCol w:w="1241"/>
        <w:gridCol w:w="1189"/>
        <w:gridCol w:w="1153"/>
      </w:tblGrid>
      <w:tr w:rsidR="009C0DED" w:rsidTr="009C0DED">
        <w:trPr>
          <w:trHeight w:val="220"/>
        </w:trPr>
        <w:tc>
          <w:tcPr>
            <w:tcW w:w="1915" w:type="dxa"/>
          </w:tcPr>
          <w:p w:rsidR="009C0DED" w:rsidRDefault="009C0DED" w:rsidP="00D10700">
            <w:pPr>
              <w:pStyle w:val="TableParagraph"/>
              <w:spacing w:line="200" w:lineRule="exact"/>
              <w:ind w:left="50"/>
              <w:rPr>
                <w:sz w:val="18"/>
              </w:rPr>
            </w:pPr>
            <w:r>
              <w:rPr>
                <w:sz w:val="18"/>
              </w:rPr>
              <w:t>Total Releases:</w:t>
            </w:r>
          </w:p>
        </w:tc>
        <w:tc>
          <w:tcPr>
            <w:tcW w:w="946" w:type="dxa"/>
          </w:tcPr>
          <w:p w:rsidR="009C0DED" w:rsidRDefault="009C0DED" w:rsidP="00D10700">
            <w:pPr>
              <w:pStyle w:val="TableParagraph"/>
              <w:spacing w:line="200" w:lineRule="exact"/>
              <w:ind w:right="61"/>
              <w:jc w:val="right"/>
              <w:rPr>
                <w:sz w:val="18"/>
              </w:rPr>
            </w:pPr>
            <w:r>
              <w:rPr>
                <w:w w:val="95"/>
                <w:sz w:val="18"/>
              </w:rPr>
              <w:t>3,668</w:t>
            </w:r>
          </w:p>
        </w:tc>
        <w:tc>
          <w:tcPr>
            <w:tcW w:w="3442" w:type="dxa"/>
            <w:gridSpan w:val="2"/>
          </w:tcPr>
          <w:p w:rsidR="009C0DED" w:rsidRDefault="009C0DED" w:rsidP="00D10700">
            <w:pPr>
              <w:pStyle w:val="TableParagraph"/>
              <w:spacing w:line="200" w:lineRule="exact"/>
              <w:ind w:left="668"/>
              <w:rPr>
                <w:sz w:val="18"/>
              </w:rPr>
            </w:pPr>
            <w:r>
              <w:rPr>
                <w:sz w:val="18"/>
              </w:rPr>
              <w:t>Distinct Offenders Released:</w:t>
            </w:r>
          </w:p>
        </w:tc>
        <w:tc>
          <w:tcPr>
            <w:tcW w:w="1241" w:type="dxa"/>
          </w:tcPr>
          <w:p w:rsidR="009C0DED" w:rsidRDefault="009C0DED" w:rsidP="00D10700">
            <w:pPr>
              <w:pStyle w:val="TableParagraph"/>
              <w:spacing w:line="200" w:lineRule="exact"/>
              <w:ind w:left="409" w:right="405"/>
              <w:jc w:val="center"/>
              <w:rPr>
                <w:sz w:val="18"/>
              </w:rPr>
            </w:pPr>
            <w:r>
              <w:rPr>
                <w:sz w:val="18"/>
              </w:rPr>
              <w:t>3,567</w:t>
            </w:r>
          </w:p>
        </w:tc>
        <w:tc>
          <w:tcPr>
            <w:tcW w:w="1189" w:type="dxa"/>
          </w:tcPr>
          <w:p w:rsidR="009C0DED" w:rsidRDefault="009C0DED" w:rsidP="00D10700">
            <w:pPr>
              <w:pStyle w:val="TableParagraph"/>
              <w:spacing w:line="200" w:lineRule="exact"/>
              <w:ind w:left="425"/>
              <w:rPr>
                <w:sz w:val="18"/>
              </w:rPr>
            </w:pPr>
            <w:r>
              <w:rPr>
                <w:sz w:val="18"/>
              </w:rPr>
              <w:t>Multiple Releases:</w:t>
            </w:r>
          </w:p>
        </w:tc>
        <w:tc>
          <w:tcPr>
            <w:tcW w:w="1153" w:type="dxa"/>
          </w:tcPr>
          <w:p w:rsidR="009C0DED" w:rsidRDefault="009C0DED" w:rsidP="00D10700">
            <w:pPr>
              <w:pStyle w:val="TableParagraph"/>
              <w:spacing w:line="200" w:lineRule="exact"/>
              <w:ind w:right="48"/>
              <w:jc w:val="right"/>
              <w:rPr>
                <w:sz w:val="18"/>
              </w:rPr>
            </w:pPr>
            <w:r>
              <w:rPr>
                <w:w w:val="95"/>
                <w:sz w:val="18"/>
              </w:rPr>
              <w:t>101</w:t>
            </w:r>
          </w:p>
        </w:tc>
      </w:tr>
      <w:tr w:rsidR="009C0DED" w:rsidTr="009C0DED">
        <w:trPr>
          <w:trHeight w:val="302"/>
        </w:trPr>
        <w:tc>
          <w:tcPr>
            <w:tcW w:w="1915" w:type="dxa"/>
          </w:tcPr>
          <w:p w:rsidR="009C0DED" w:rsidRDefault="009C0DED" w:rsidP="009C0DED">
            <w:pPr>
              <w:pStyle w:val="TableParagraph"/>
              <w:spacing w:before="29"/>
              <w:ind w:right="283"/>
              <w:jc w:val="center"/>
              <w:rPr>
                <w:b/>
                <w:sz w:val="17"/>
              </w:rPr>
            </w:pPr>
            <w:r>
              <w:rPr>
                <w:b/>
                <w:w w:val="105"/>
                <w:sz w:val="17"/>
              </w:rPr>
              <w:t>From Table 4:</w:t>
            </w:r>
          </w:p>
        </w:tc>
        <w:tc>
          <w:tcPr>
            <w:tcW w:w="946" w:type="dxa"/>
          </w:tcPr>
          <w:p w:rsidR="009C0DED" w:rsidRDefault="009C0DED" w:rsidP="00D10700">
            <w:pPr>
              <w:pStyle w:val="TableParagraph"/>
              <w:spacing w:before="29"/>
              <w:ind w:right="48"/>
              <w:jc w:val="right"/>
              <w:rPr>
                <w:b/>
                <w:sz w:val="17"/>
              </w:rPr>
            </w:pPr>
            <w:r>
              <w:rPr>
                <w:b/>
                <w:sz w:val="17"/>
              </w:rPr>
              <w:t>389</w:t>
            </w:r>
          </w:p>
        </w:tc>
        <w:tc>
          <w:tcPr>
            <w:tcW w:w="3442" w:type="dxa"/>
            <w:gridSpan w:val="2"/>
          </w:tcPr>
          <w:p w:rsidR="009C0DED" w:rsidRDefault="009C0DED" w:rsidP="00D10700">
            <w:pPr>
              <w:pStyle w:val="TableParagraph"/>
              <w:spacing w:before="12"/>
              <w:ind w:left="668"/>
              <w:rPr>
                <w:sz w:val="18"/>
              </w:rPr>
            </w:pPr>
            <w:r>
              <w:rPr>
                <w:sz w:val="18"/>
              </w:rPr>
              <w:t>Distinct Recidivists:</w:t>
            </w:r>
          </w:p>
        </w:tc>
        <w:tc>
          <w:tcPr>
            <w:tcW w:w="1241" w:type="dxa"/>
          </w:tcPr>
          <w:p w:rsidR="009C0DED" w:rsidRDefault="009C0DED" w:rsidP="00D10700">
            <w:pPr>
              <w:pStyle w:val="TableParagraph"/>
              <w:ind w:left="409" w:right="405"/>
              <w:jc w:val="center"/>
              <w:rPr>
                <w:sz w:val="18"/>
              </w:rPr>
            </w:pPr>
            <w:r>
              <w:rPr>
                <w:sz w:val="18"/>
              </w:rPr>
              <w:t>1,588</w:t>
            </w:r>
          </w:p>
        </w:tc>
        <w:tc>
          <w:tcPr>
            <w:tcW w:w="1189" w:type="dxa"/>
          </w:tcPr>
          <w:p w:rsidR="009C0DED" w:rsidRDefault="009C0DED" w:rsidP="00D10700">
            <w:pPr>
              <w:pStyle w:val="TableParagraph"/>
              <w:spacing w:before="12"/>
              <w:ind w:left="425"/>
              <w:rPr>
                <w:sz w:val="18"/>
              </w:rPr>
            </w:pPr>
            <w:r>
              <w:rPr>
                <w:sz w:val="18"/>
              </w:rPr>
              <w:t>Multiple Returns:</w:t>
            </w:r>
          </w:p>
        </w:tc>
        <w:tc>
          <w:tcPr>
            <w:tcW w:w="1153" w:type="dxa"/>
          </w:tcPr>
          <w:p w:rsidR="009C0DED" w:rsidRDefault="009C0DED" w:rsidP="00D10700">
            <w:pPr>
              <w:pStyle w:val="TableParagraph"/>
              <w:ind w:right="48"/>
              <w:jc w:val="right"/>
              <w:rPr>
                <w:sz w:val="18"/>
              </w:rPr>
            </w:pPr>
            <w:r>
              <w:rPr>
                <w:w w:val="95"/>
                <w:sz w:val="18"/>
              </w:rPr>
              <w:t>30</w:t>
            </w:r>
          </w:p>
        </w:tc>
      </w:tr>
      <w:tr w:rsidR="009C0DED" w:rsidTr="009C0DED">
        <w:trPr>
          <w:gridAfter w:val="3"/>
          <w:wAfter w:w="3583" w:type="dxa"/>
          <w:trHeight w:val="144"/>
        </w:trPr>
        <w:tc>
          <w:tcPr>
            <w:tcW w:w="1915" w:type="dxa"/>
          </w:tcPr>
          <w:p w:rsidR="009C0DED" w:rsidRDefault="009C0DED" w:rsidP="00D10700">
            <w:pPr>
              <w:pStyle w:val="TableParagraph"/>
              <w:spacing w:before="70"/>
              <w:ind w:left="50"/>
              <w:rPr>
                <w:sz w:val="18"/>
              </w:rPr>
            </w:pPr>
            <w:r>
              <w:rPr>
                <w:sz w:val="18"/>
              </w:rPr>
              <w:t>Total Recidivists:</w:t>
            </w:r>
          </w:p>
        </w:tc>
        <w:tc>
          <w:tcPr>
            <w:tcW w:w="4388" w:type="dxa"/>
            <w:gridSpan w:val="3"/>
          </w:tcPr>
          <w:p w:rsidR="009C0DED" w:rsidRDefault="009C0DED" w:rsidP="00D10700">
            <w:pPr>
              <w:pStyle w:val="TableParagraph"/>
              <w:tabs>
                <w:tab w:val="left" w:pos="1614"/>
                <w:tab w:val="left" w:pos="4595"/>
              </w:tabs>
              <w:spacing w:line="170" w:lineRule="auto"/>
              <w:ind w:left="434"/>
              <w:rPr>
                <w:sz w:val="18"/>
              </w:rPr>
            </w:pPr>
            <w:r>
              <w:rPr>
                <w:position w:val="-11"/>
                <w:sz w:val="18"/>
              </w:rPr>
              <w:t>1,618</w:t>
            </w:r>
            <w:r>
              <w:rPr>
                <w:rFonts w:ascii="Times New Roman"/>
                <w:position w:val="-11"/>
                <w:sz w:val="18"/>
              </w:rPr>
              <w:tab/>
            </w:r>
            <w:r>
              <w:rPr>
                <w:sz w:val="18"/>
              </w:rPr>
              <w:t>Recidivism</w:t>
            </w:r>
            <w:r>
              <w:rPr>
                <w:spacing w:val="-8"/>
                <w:sz w:val="18"/>
              </w:rPr>
              <w:t xml:space="preserve"> </w:t>
            </w:r>
            <w:r>
              <w:rPr>
                <w:sz w:val="18"/>
              </w:rPr>
              <w:t>Rate,</w:t>
            </w:r>
            <w:r>
              <w:rPr>
                <w:spacing w:val="-7"/>
                <w:sz w:val="18"/>
              </w:rPr>
              <w:t xml:space="preserve"> </w:t>
            </w:r>
            <w:r>
              <w:rPr>
                <w:sz w:val="18"/>
              </w:rPr>
              <w:t>Distinct:</w:t>
            </w:r>
            <w:r>
              <w:rPr>
                <w:rFonts w:ascii="Times New Roman"/>
                <w:sz w:val="18"/>
              </w:rPr>
              <w:t xml:space="preserve">  </w:t>
            </w:r>
            <w:r>
              <w:rPr>
                <w:sz w:val="18"/>
              </w:rPr>
              <w:t>44.52%</w:t>
            </w:r>
          </w:p>
        </w:tc>
      </w:tr>
      <w:tr w:rsidR="009C0DED" w:rsidTr="009C0DED">
        <w:trPr>
          <w:gridAfter w:val="3"/>
          <w:wAfter w:w="3583" w:type="dxa"/>
          <w:trHeight w:val="468"/>
        </w:trPr>
        <w:tc>
          <w:tcPr>
            <w:tcW w:w="1915" w:type="dxa"/>
          </w:tcPr>
          <w:p w:rsidR="009C0DED" w:rsidRDefault="009C0DED" w:rsidP="00D10700">
            <w:pPr>
              <w:pStyle w:val="TableParagraph"/>
              <w:spacing w:before="23"/>
              <w:ind w:right="283"/>
              <w:jc w:val="center"/>
              <w:rPr>
                <w:b/>
                <w:sz w:val="17"/>
              </w:rPr>
            </w:pPr>
            <w:r>
              <w:rPr>
                <w:b/>
                <w:w w:val="105"/>
                <w:sz w:val="17"/>
              </w:rPr>
              <w:t>From Table 4:</w:t>
            </w:r>
          </w:p>
        </w:tc>
        <w:tc>
          <w:tcPr>
            <w:tcW w:w="4388" w:type="dxa"/>
            <w:gridSpan w:val="3"/>
          </w:tcPr>
          <w:p w:rsidR="009C0DED" w:rsidRDefault="009C0DED" w:rsidP="00D10700">
            <w:pPr>
              <w:pStyle w:val="TableParagraph"/>
              <w:tabs>
                <w:tab w:val="left" w:pos="1614"/>
                <w:tab w:val="right" w:pos="5203"/>
              </w:tabs>
              <w:spacing w:line="79" w:lineRule="auto"/>
              <w:ind w:left="603"/>
              <w:rPr>
                <w:sz w:val="18"/>
              </w:rPr>
            </w:pPr>
            <w:r w:rsidRPr="009C0DED">
              <w:rPr>
                <w:rFonts w:cstheme="minorHAnsi"/>
                <w:position w:val="-12"/>
                <w:sz w:val="18"/>
              </w:rPr>
              <w:t>206</w:t>
            </w:r>
            <w:r>
              <w:rPr>
                <w:rFonts w:ascii="Times New Roman"/>
                <w:position w:val="-12"/>
                <w:sz w:val="17"/>
              </w:rPr>
              <w:tab/>
            </w:r>
            <w:r>
              <w:rPr>
                <w:sz w:val="18"/>
              </w:rPr>
              <w:t>Average Days</w:t>
            </w:r>
            <w:r>
              <w:rPr>
                <w:spacing w:val="-5"/>
                <w:sz w:val="18"/>
              </w:rPr>
              <w:t xml:space="preserve"> </w:t>
            </w:r>
            <w:r>
              <w:rPr>
                <w:sz w:val="18"/>
              </w:rPr>
              <w:t>Out,</w:t>
            </w:r>
            <w:r>
              <w:rPr>
                <w:spacing w:val="-2"/>
                <w:sz w:val="18"/>
              </w:rPr>
              <w:t xml:space="preserve"> </w:t>
            </w:r>
            <w:r>
              <w:rPr>
                <w:sz w:val="18"/>
              </w:rPr>
              <w:t>Distinct:</w:t>
            </w:r>
            <w:r>
              <w:rPr>
                <w:rFonts w:ascii="Times New Roman"/>
                <w:sz w:val="18"/>
              </w:rPr>
              <w:t xml:space="preserve">  </w:t>
            </w:r>
            <w:r>
              <w:rPr>
                <w:sz w:val="18"/>
              </w:rPr>
              <w:t>315</w:t>
            </w:r>
          </w:p>
        </w:tc>
      </w:tr>
      <w:tr w:rsidR="009C0DED" w:rsidTr="009C0DED">
        <w:trPr>
          <w:gridAfter w:val="3"/>
          <w:wAfter w:w="3583" w:type="dxa"/>
          <w:trHeight w:val="302"/>
        </w:trPr>
        <w:tc>
          <w:tcPr>
            <w:tcW w:w="1915" w:type="dxa"/>
          </w:tcPr>
          <w:p w:rsidR="009C0DED" w:rsidRDefault="009C0DED" w:rsidP="00D10700">
            <w:pPr>
              <w:pStyle w:val="TableParagraph"/>
              <w:spacing w:before="70"/>
              <w:ind w:left="50"/>
              <w:rPr>
                <w:sz w:val="18"/>
              </w:rPr>
            </w:pPr>
            <w:r>
              <w:rPr>
                <w:sz w:val="18"/>
              </w:rPr>
              <w:t>Recidivism Rate:</w:t>
            </w:r>
          </w:p>
        </w:tc>
        <w:tc>
          <w:tcPr>
            <w:tcW w:w="4388" w:type="dxa"/>
            <w:gridSpan w:val="3"/>
          </w:tcPr>
          <w:p w:rsidR="009C0DED" w:rsidRDefault="009C0DED" w:rsidP="00D10700">
            <w:pPr>
              <w:pStyle w:val="TableParagraph"/>
              <w:spacing w:before="71"/>
              <w:ind w:left="285"/>
              <w:rPr>
                <w:sz w:val="18"/>
              </w:rPr>
            </w:pPr>
            <w:r>
              <w:rPr>
                <w:noProof/>
              </w:rPr>
              <mc:AlternateContent>
                <mc:Choice Requires="wpg">
                  <w:drawing>
                    <wp:anchor distT="0" distB="0" distL="114300" distR="114300" simplePos="0" relativeHeight="251658240" behindDoc="1" locked="0" layoutInCell="1" allowOverlap="1">
                      <wp:simplePos x="0" y="0"/>
                      <wp:positionH relativeFrom="page">
                        <wp:posOffset>-1742757</wp:posOffset>
                      </wp:positionH>
                      <wp:positionV relativeFrom="paragraph">
                        <wp:posOffset>-1182051</wp:posOffset>
                      </wp:positionV>
                      <wp:extent cx="6858000" cy="3167062"/>
                      <wp:effectExtent l="0" t="0" r="19050"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167062"/>
                                <a:chOff x="720" y="214"/>
                                <a:chExt cx="10800" cy="3960"/>
                              </a:xfrm>
                            </wpg:grpSpPr>
                            <wps:wsp>
                              <wps:cNvPr id="5" name="Rectangle 6"/>
                              <wps:cNvSpPr>
                                <a:spLocks noChangeArrowheads="1"/>
                              </wps:cNvSpPr>
                              <wps:spPr bwMode="auto">
                                <a:xfrm>
                                  <a:off x="730" y="224"/>
                                  <a:ext cx="10780" cy="39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1800" y="3830"/>
                                  <a:ext cx="81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1F7" w:rsidRDefault="001531F7" w:rsidP="009C0DED">
                                    <w:pPr>
                                      <w:spacing w:line="200" w:lineRule="exact"/>
                                      <w:rPr>
                                        <w:sz w:val="18"/>
                                      </w:rPr>
                                    </w:pPr>
                                    <w:r>
                                      <w:rPr>
                                        <w:sz w:val="18"/>
                                      </w:rPr>
                                      <w:t>Under</w:t>
                                    </w:r>
                                    <w:r>
                                      <w:rPr>
                                        <w:spacing w:val="-6"/>
                                        <w:sz w:val="18"/>
                                      </w:rPr>
                                      <w:t xml:space="preserve"> </w:t>
                                    </w:r>
                                    <w:r>
                                      <w:rPr>
                                        <w:sz w:val="18"/>
                                      </w:rPr>
                                      <w:t>expected</w:t>
                                    </w:r>
                                    <w:r>
                                      <w:rPr>
                                        <w:spacing w:val="-5"/>
                                        <w:sz w:val="18"/>
                                      </w:rPr>
                                      <w:t xml:space="preserve"> </w:t>
                                    </w:r>
                                    <w:r>
                                      <w:rPr>
                                        <w:sz w:val="18"/>
                                      </w:rPr>
                                      <w:t>use</w:t>
                                    </w:r>
                                    <w:r>
                                      <w:rPr>
                                        <w:spacing w:val="-5"/>
                                        <w:sz w:val="18"/>
                                      </w:rPr>
                                      <w:t xml:space="preserve"> </w:t>
                                    </w:r>
                                    <w:r>
                                      <w:rPr>
                                        <w:sz w:val="18"/>
                                      </w:rPr>
                                      <w:t>the</w:t>
                                    </w:r>
                                    <w:r>
                                      <w:rPr>
                                        <w:spacing w:val="-5"/>
                                        <w:sz w:val="18"/>
                                      </w:rPr>
                                      <w:t xml:space="preserve"> </w:t>
                                    </w:r>
                                    <w:r>
                                      <w:rPr>
                                        <w:sz w:val="18"/>
                                      </w:rPr>
                                      <w:t>Other</w:t>
                                    </w:r>
                                    <w:r>
                                      <w:rPr>
                                        <w:spacing w:val="-6"/>
                                        <w:sz w:val="18"/>
                                      </w:rPr>
                                      <w:t xml:space="preserve"> </w:t>
                                    </w:r>
                                    <w:r>
                                      <w:rPr>
                                        <w:sz w:val="18"/>
                                      </w:rPr>
                                      <w:t>category</w:t>
                                    </w:r>
                                    <w:r>
                                      <w:rPr>
                                        <w:spacing w:val="-5"/>
                                        <w:sz w:val="18"/>
                                      </w:rPr>
                                      <w:t xml:space="preserve"> </w:t>
                                    </w:r>
                                    <w:r>
                                      <w:rPr>
                                        <w:sz w:val="18"/>
                                      </w:rPr>
                                      <w:t>will</w:t>
                                    </w:r>
                                    <w:r>
                                      <w:rPr>
                                        <w:spacing w:val="-5"/>
                                        <w:sz w:val="18"/>
                                      </w:rPr>
                                      <w:t xml:space="preserve"> </w:t>
                                    </w:r>
                                    <w:r>
                                      <w:rPr>
                                        <w:sz w:val="18"/>
                                      </w:rPr>
                                      <w:t>count</w:t>
                                    </w:r>
                                    <w:r>
                                      <w:rPr>
                                        <w:spacing w:val="-5"/>
                                        <w:sz w:val="18"/>
                                      </w:rPr>
                                      <w:t xml:space="preserve"> </w:t>
                                    </w:r>
                                    <w:r>
                                      <w:rPr>
                                        <w:sz w:val="18"/>
                                      </w:rPr>
                                      <w:t>offenders</w:t>
                                    </w:r>
                                    <w:r>
                                      <w:rPr>
                                        <w:spacing w:val="-6"/>
                                        <w:sz w:val="18"/>
                                      </w:rPr>
                                      <w:t xml:space="preserve"> </w:t>
                                    </w:r>
                                    <w:r>
                                      <w:rPr>
                                        <w:sz w:val="18"/>
                                      </w:rPr>
                                      <w:t>with</w:t>
                                    </w:r>
                                    <w:r>
                                      <w:rPr>
                                        <w:spacing w:val="-5"/>
                                        <w:sz w:val="18"/>
                                      </w:rPr>
                                      <w:t xml:space="preserve"> </w:t>
                                    </w:r>
                                    <w:r>
                                      <w:rPr>
                                        <w:sz w:val="18"/>
                                      </w:rPr>
                                      <w:t>a</w:t>
                                    </w:r>
                                    <w:r>
                                      <w:rPr>
                                        <w:spacing w:val="-5"/>
                                        <w:sz w:val="18"/>
                                      </w:rPr>
                                      <w:t xml:space="preserve"> </w:t>
                                    </w:r>
                                    <w:r>
                                      <w:rPr>
                                        <w:sz w:val="18"/>
                                      </w:rPr>
                                      <w:t>"Return</w:t>
                                    </w:r>
                                    <w:r>
                                      <w:rPr>
                                        <w:spacing w:val="-5"/>
                                        <w:sz w:val="18"/>
                                      </w:rPr>
                                      <w:t xml:space="preserve"> </w:t>
                                    </w:r>
                                    <w:r>
                                      <w:rPr>
                                        <w:sz w:val="18"/>
                                      </w:rPr>
                                      <w:t>from</w:t>
                                    </w:r>
                                    <w:r>
                                      <w:rPr>
                                        <w:spacing w:val="-6"/>
                                        <w:sz w:val="18"/>
                                      </w:rPr>
                                      <w:t xml:space="preserve"> </w:t>
                                    </w:r>
                                    <w:r>
                                      <w:rPr>
                                        <w:sz w:val="18"/>
                                      </w:rPr>
                                      <w:t>Escape"</w:t>
                                    </w:r>
                                    <w:r>
                                      <w:rPr>
                                        <w:spacing w:val="-5"/>
                                        <w:sz w:val="18"/>
                                      </w:rPr>
                                      <w:t xml:space="preserve"> </w:t>
                                    </w:r>
                                    <w:r>
                                      <w:rPr>
                                        <w:sz w:val="18"/>
                                      </w:rPr>
                                      <w:t>return</w:t>
                                    </w:r>
                                    <w:r>
                                      <w:rPr>
                                        <w:spacing w:val="-5"/>
                                        <w:sz w:val="18"/>
                                      </w:rPr>
                                      <w:t xml:space="preserve"> </w:t>
                                    </w:r>
                                    <w:r>
                                      <w:rPr>
                                        <w:sz w:val="18"/>
                                      </w:rPr>
                                      <w:t>reason.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7.2pt;margin-top:-93.05pt;width:540pt;height:249.35pt;z-index:-251658240;mso-position-horizontal-relative:page" coordorigin="720,214" coordsize="108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">
                      <v:rect id="Rectangle 6" o:spid="_x0000_s1027" style="position:absolute;left:730;top:224;width:10780;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v:shapetype id="_x0000_t202" coordsize="21600,21600" o:spt="202" path="m,l,21600r21600,l21600,xe">
                        <v:stroke joinstyle="miter"/>
                        <v:path gradientshapeok="t" o:connecttype="rect"/>
                      </v:shapetype>
                      <v:shape id="Text Box 7" o:spid="_x0000_s1028" type="#_x0000_t202" style="position:absolute;left:1800;top:3830;width:81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531F7" w:rsidRDefault="001531F7" w:rsidP="009C0DED">
                              <w:pPr>
                                <w:spacing w:line="200" w:lineRule="exact"/>
                                <w:rPr>
                                  <w:sz w:val="18"/>
                                </w:rPr>
                              </w:pPr>
                              <w:r>
                                <w:rPr>
                                  <w:sz w:val="18"/>
                                </w:rPr>
                                <w:t>Under</w:t>
                              </w:r>
                              <w:r>
                                <w:rPr>
                                  <w:spacing w:val="-6"/>
                                  <w:sz w:val="18"/>
                                </w:rPr>
                                <w:t xml:space="preserve"> </w:t>
                              </w:r>
                              <w:r>
                                <w:rPr>
                                  <w:sz w:val="18"/>
                                </w:rPr>
                                <w:t>expected</w:t>
                              </w:r>
                              <w:r>
                                <w:rPr>
                                  <w:spacing w:val="-5"/>
                                  <w:sz w:val="18"/>
                                </w:rPr>
                                <w:t xml:space="preserve"> </w:t>
                              </w:r>
                              <w:r>
                                <w:rPr>
                                  <w:sz w:val="18"/>
                                </w:rPr>
                                <w:t>use</w:t>
                              </w:r>
                              <w:r>
                                <w:rPr>
                                  <w:spacing w:val="-5"/>
                                  <w:sz w:val="18"/>
                                </w:rPr>
                                <w:t xml:space="preserve"> </w:t>
                              </w:r>
                              <w:r>
                                <w:rPr>
                                  <w:sz w:val="18"/>
                                </w:rPr>
                                <w:t>the</w:t>
                              </w:r>
                              <w:r>
                                <w:rPr>
                                  <w:spacing w:val="-5"/>
                                  <w:sz w:val="18"/>
                                </w:rPr>
                                <w:t xml:space="preserve"> </w:t>
                              </w:r>
                              <w:r>
                                <w:rPr>
                                  <w:sz w:val="18"/>
                                </w:rPr>
                                <w:t>Other</w:t>
                              </w:r>
                              <w:r>
                                <w:rPr>
                                  <w:spacing w:val="-6"/>
                                  <w:sz w:val="18"/>
                                </w:rPr>
                                <w:t xml:space="preserve"> </w:t>
                              </w:r>
                              <w:r>
                                <w:rPr>
                                  <w:sz w:val="18"/>
                                </w:rPr>
                                <w:t>category</w:t>
                              </w:r>
                              <w:r>
                                <w:rPr>
                                  <w:spacing w:val="-5"/>
                                  <w:sz w:val="18"/>
                                </w:rPr>
                                <w:t xml:space="preserve"> </w:t>
                              </w:r>
                              <w:r>
                                <w:rPr>
                                  <w:sz w:val="18"/>
                                </w:rPr>
                                <w:t>will</w:t>
                              </w:r>
                              <w:r>
                                <w:rPr>
                                  <w:spacing w:val="-5"/>
                                  <w:sz w:val="18"/>
                                </w:rPr>
                                <w:t xml:space="preserve"> </w:t>
                              </w:r>
                              <w:r>
                                <w:rPr>
                                  <w:sz w:val="18"/>
                                </w:rPr>
                                <w:t>count</w:t>
                              </w:r>
                              <w:r>
                                <w:rPr>
                                  <w:spacing w:val="-5"/>
                                  <w:sz w:val="18"/>
                                </w:rPr>
                                <w:t xml:space="preserve"> </w:t>
                              </w:r>
                              <w:r>
                                <w:rPr>
                                  <w:sz w:val="18"/>
                                </w:rPr>
                                <w:t>offenders</w:t>
                              </w:r>
                              <w:r>
                                <w:rPr>
                                  <w:spacing w:val="-6"/>
                                  <w:sz w:val="18"/>
                                </w:rPr>
                                <w:t xml:space="preserve"> </w:t>
                              </w:r>
                              <w:r>
                                <w:rPr>
                                  <w:sz w:val="18"/>
                                </w:rPr>
                                <w:t>with</w:t>
                              </w:r>
                              <w:r>
                                <w:rPr>
                                  <w:spacing w:val="-5"/>
                                  <w:sz w:val="18"/>
                                </w:rPr>
                                <w:t xml:space="preserve"> </w:t>
                              </w:r>
                              <w:r>
                                <w:rPr>
                                  <w:sz w:val="18"/>
                                </w:rPr>
                                <w:t>a</w:t>
                              </w:r>
                              <w:r>
                                <w:rPr>
                                  <w:spacing w:val="-5"/>
                                  <w:sz w:val="18"/>
                                </w:rPr>
                                <w:t xml:space="preserve"> </w:t>
                              </w:r>
                              <w:r>
                                <w:rPr>
                                  <w:sz w:val="18"/>
                                </w:rPr>
                                <w:t>"Return</w:t>
                              </w:r>
                              <w:r>
                                <w:rPr>
                                  <w:spacing w:val="-5"/>
                                  <w:sz w:val="18"/>
                                </w:rPr>
                                <w:t xml:space="preserve"> </w:t>
                              </w:r>
                              <w:r>
                                <w:rPr>
                                  <w:sz w:val="18"/>
                                </w:rPr>
                                <w:t>from</w:t>
                              </w:r>
                              <w:r>
                                <w:rPr>
                                  <w:spacing w:val="-6"/>
                                  <w:sz w:val="18"/>
                                </w:rPr>
                                <w:t xml:space="preserve"> </w:t>
                              </w:r>
                              <w:r>
                                <w:rPr>
                                  <w:sz w:val="18"/>
                                </w:rPr>
                                <w:t>Escape"</w:t>
                              </w:r>
                              <w:r>
                                <w:rPr>
                                  <w:spacing w:val="-5"/>
                                  <w:sz w:val="18"/>
                                </w:rPr>
                                <w:t xml:space="preserve"> </w:t>
                              </w:r>
                              <w:r>
                                <w:rPr>
                                  <w:sz w:val="18"/>
                                </w:rPr>
                                <w:t>return</w:t>
                              </w:r>
                              <w:r>
                                <w:rPr>
                                  <w:spacing w:val="-5"/>
                                  <w:sz w:val="18"/>
                                </w:rPr>
                                <w:t xml:space="preserve"> </w:t>
                              </w:r>
                              <w:r>
                                <w:rPr>
                                  <w:sz w:val="18"/>
                                </w:rPr>
                                <w:t>reason.</w:t>
                              </w:r>
                            </w:p>
                          </w:txbxContent>
                        </v:textbox>
                      </v:shape>
                      <w10:wrap anchorx="page"/>
                    </v:group>
                  </w:pict>
                </mc:Fallback>
              </mc:AlternateContent>
            </w:r>
            <w:r>
              <w:rPr>
                <w:sz w:val="18"/>
              </w:rPr>
              <w:t>44.11%</w:t>
            </w:r>
          </w:p>
        </w:tc>
      </w:tr>
      <w:tr w:rsidR="009C0DED" w:rsidTr="009C0DED">
        <w:trPr>
          <w:gridAfter w:val="3"/>
          <w:wAfter w:w="3583" w:type="dxa"/>
          <w:trHeight w:val="297"/>
        </w:trPr>
        <w:tc>
          <w:tcPr>
            <w:tcW w:w="1915" w:type="dxa"/>
          </w:tcPr>
          <w:p w:rsidR="009C0DED" w:rsidRDefault="009C0DED" w:rsidP="009C0DED">
            <w:pPr>
              <w:pStyle w:val="TableParagraph"/>
              <w:spacing w:before="23"/>
              <w:ind w:right="283"/>
              <w:jc w:val="center"/>
              <w:rPr>
                <w:b/>
                <w:sz w:val="17"/>
              </w:rPr>
            </w:pPr>
            <w:r>
              <w:rPr>
                <w:b/>
                <w:w w:val="105"/>
                <w:sz w:val="17"/>
              </w:rPr>
              <w:t>From Table 4:</w:t>
            </w:r>
          </w:p>
        </w:tc>
        <w:tc>
          <w:tcPr>
            <w:tcW w:w="4388" w:type="dxa"/>
            <w:gridSpan w:val="3"/>
          </w:tcPr>
          <w:p w:rsidR="009C0DED" w:rsidRDefault="009C0DED" w:rsidP="00D10700">
            <w:pPr>
              <w:pStyle w:val="TableParagraph"/>
              <w:spacing w:before="23"/>
              <w:ind w:left="301"/>
              <w:rPr>
                <w:b/>
                <w:sz w:val="17"/>
              </w:rPr>
            </w:pPr>
            <w:r>
              <w:rPr>
                <w:b/>
                <w:w w:val="105"/>
                <w:sz w:val="17"/>
              </w:rPr>
              <w:t>52.96%</w:t>
            </w:r>
          </w:p>
        </w:tc>
      </w:tr>
      <w:tr w:rsidR="009C0DED" w:rsidTr="009C0DED">
        <w:trPr>
          <w:gridAfter w:val="3"/>
          <w:wAfter w:w="3583" w:type="dxa"/>
          <w:trHeight w:val="417"/>
        </w:trPr>
        <w:tc>
          <w:tcPr>
            <w:tcW w:w="1915" w:type="dxa"/>
          </w:tcPr>
          <w:p w:rsidR="009C0DED" w:rsidRDefault="009C0DED" w:rsidP="00D10700">
            <w:pPr>
              <w:pStyle w:val="TableParagraph"/>
              <w:spacing w:before="70"/>
              <w:ind w:left="50"/>
              <w:rPr>
                <w:sz w:val="18"/>
              </w:rPr>
            </w:pPr>
            <w:r>
              <w:rPr>
                <w:sz w:val="18"/>
              </w:rPr>
              <w:t>Average Days Out:</w:t>
            </w:r>
          </w:p>
        </w:tc>
        <w:tc>
          <w:tcPr>
            <w:tcW w:w="4388" w:type="dxa"/>
            <w:gridSpan w:val="3"/>
          </w:tcPr>
          <w:p w:rsidR="009C0DED" w:rsidRDefault="009C0DED" w:rsidP="00D10700">
            <w:pPr>
              <w:pStyle w:val="TableParagraph"/>
              <w:spacing w:before="71"/>
              <w:ind w:left="584"/>
              <w:rPr>
                <w:sz w:val="18"/>
              </w:rPr>
            </w:pPr>
            <w:r>
              <w:rPr>
                <w:sz w:val="18"/>
              </w:rPr>
              <w:t>319</w:t>
            </w:r>
          </w:p>
        </w:tc>
      </w:tr>
      <w:tr w:rsidR="009C0DED" w:rsidTr="009C0DED">
        <w:trPr>
          <w:gridAfter w:val="3"/>
          <w:wAfter w:w="3583" w:type="dxa"/>
          <w:trHeight w:val="359"/>
        </w:trPr>
        <w:tc>
          <w:tcPr>
            <w:tcW w:w="2861" w:type="dxa"/>
            <w:gridSpan w:val="2"/>
          </w:tcPr>
          <w:p w:rsidR="009C0DED" w:rsidRDefault="009C0DED" w:rsidP="00D10700">
            <w:pPr>
              <w:pStyle w:val="TableParagraph"/>
              <w:spacing w:before="132" w:line="207" w:lineRule="exact"/>
              <w:ind w:left="50"/>
              <w:rPr>
                <w:sz w:val="18"/>
              </w:rPr>
            </w:pPr>
            <w:r>
              <w:rPr>
                <w:sz w:val="18"/>
                <w:u w:val="single"/>
              </w:rPr>
              <w:t>Return Reasons</w:t>
            </w:r>
          </w:p>
        </w:tc>
        <w:tc>
          <w:tcPr>
            <w:tcW w:w="1205" w:type="dxa"/>
          </w:tcPr>
          <w:p w:rsidR="009C0DED" w:rsidRDefault="009C0DED" w:rsidP="00D10700">
            <w:pPr>
              <w:pStyle w:val="TableParagraph"/>
              <w:spacing w:before="132" w:line="207" w:lineRule="exact"/>
              <w:ind w:right="175"/>
              <w:jc w:val="right"/>
              <w:rPr>
                <w:sz w:val="18"/>
              </w:rPr>
            </w:pPr>
            <w:r>
              <w:rPr>
                <w:w w:val="95"/>
                <w:sz w:val="18"/>
                <w:u w:val="single"/>
              </w:rPr>
              <w:t>Count</w:t>
            </w:r>
          </w:p>
        </w:tc>
        <w:tc>
          <w:tcPr>
            <w:tcW w:w="2237" w:type="dxa"/>
          </w:tcPr>
          <w:p w:rsidR="009C0DED" w:rsidRDefault="009C0DED" w:rsidP="00D10700">
            <w:pPr>
              <w:pStyle w:val="TableParagraph"/>
              <w:spacing w:before="132" w:line="207" w:lineRule="exact"/>
              <w:ind w:left="176"/>
              <w:rPr>
                <w:sz w:val="18"/>
              </w:rPr>
            </w:pPr>
            <w:r>
              <w:rPr>
                <w:sz w:val="18"/>
                <w:u w:val="single"/>
              </w:rPr>
              <w:t>Rate Breakdown</w:t>
            </w:r>
          </w:p>
        </w:tc>
      </w:tr>
      <w:tr w:rsidR="009C0DED" w:rsidTr="009C0DED">
        <w:trPr>
          <w:gridAfter w:val="3"/>
          <w:wAfter w:w="3583" w:type="dxa"/>
          <w:trHeight w:val="240"/>
        </w:trPr>
        <w:tc>
          <w:tcPr>
            <w:tcW w:w="2861" w:type="dxa"/>
            <w:gridSpan w:val="2"/>
          </w:tcPr>
          <w:p w:rsidR="009C0DED" w:rsidRDefault="009C0DED" w:rsidP="009C0DED">
            <w:pPr>
              <w:pStyle w:val="TableParagraph"/>
              <w:rPr>
                <w:sz w:val="18"/>
              </w:rPr>
            </w:pPr>
            <w:r>
              <w:rPr>
                <w:sz w:val="18"/>
              </w:rPr>
              <w:t>Technical Parole Violations:</w:t>
            </w:r>
          </w:p>
        </w:tc>
        <w:tc>
          <w:tcPr>
            <w:tcW w:w="1205" w:type="dxa"/>
          </w:tcPr>
          <w:p w:rsidR="009C0DED" w:rsidRDefault="009C0DED" w:rsidP="00D10700">
            <w:pPr>
              <w:pStyle w:val="TableParagraph"/>
              <w:spacing w:before="14" w:line="206" w:lineRule="exact"/>
              <w:ind w:right="185"/>
              <w:jc w:val="right"/>
              <w:rPr>
                <w:sz w:val="18"/>
              </w:rPr>
            </w:pPr>
            <w:r>
              <w:rPr>
                <w:w w:val="95"/>
                <w:sz w:val="18"/>
              </w:rPr>
              <w:t>927</w:t>
            </w:r>
          </w:p>
        </w:tc>
        <w:tc>
          <w:tcPr>
            <w:tcW w:w="2237" w:type="dxa"/>
          </w:tcPr>
          <w:p w:rsidR="009C0DED" w:rsidRDefault="009C0DED" w:rsidP="00D10700">
            <w:pPr>
              <w:pStyle w:val="TableParagraph"/>
              <w:spacing w:before="14" w:line="206" w:lineRule="exact"/>
              <w:ind w:left="884"/>
              <w:rPr>
                <w:sz w:val="18"/>
              </w:rPr>
            </w:pPr>
            <w:r>
              <w:rPr>
                <w:sz w:val="18"/>
              </w:rPr>
              <w:t>25.27%</w:t>
            </w:r>
          </w:p>
        </w:tc>
      </w:tr>
      <w:tr w:rsidR="009C0DED" w:rsidTr="009C0DED">
        <w:trPr>
          <w:gridAfter w:val="3"/>
          <w:wAfter w:w="3583" w:type="dxa"/>
          <w:trHeight w:val="240"/>
        </w:trPr>
        <w:tc>
          <w:tcPr>
            <w:tcW w:w="2861" w:type="dxa"/>
            <w:gridSpan w:val="2"/>
          </w:tcPr>
          <w:p w:rsidR="009C0DED" w:rsidRDefault="009C0DED" w:rsidP="009C0DED">
            <w:pPr>
              <w:pStyle w:val="TableParagraph"/>
              <w:spacing w:before="12"/>
              <w:rPr>
                <w:sz w:val="18"/>
              </w:rPr>
            </w:pPr>
            <w:r>
              <w:rPr>
                <w:sz w:val="18"/>
              </w:rPr>
              <w:t>New Charges:</w:t>
            </w:r>
          </w:p>
        </w:tc>
        <w:tc>
          <w:tcPr>
            <w:tcW w:w="1205" w:type="dxa"/>
          </w:tcPr>
          <w:p w:rsidR="009C0DED" w:rsidRDefault="009C0DED" w:rsidP="00D10700">
            <w:pPr>
              <w:pStyle w:val="TableParagraph"/>
              <w:spacing w:line="206" w:lineRule="exact"/>
              <w:ind w:right="185"/>
              <w:jc w:val="right"/>
              <w:rPr>
                <w:sz w:val="18"/>
              </w:rPr>
            </w:pPr>
            <w:r>
              <w:rPr>
                <w:w w:val="95"/>
                <w:sz w:val="18"/>
              </w:rPr>
              <w:t>471</w:t>
            </w:r>
          </w:p>
        </w:tc>
        <w:tc>
          <w:tcPr>
            <w:tcW w:w="2237" w:type="dxa"/>
          </w:tcPr>
          <w:p w:rsidR="009C0DED" w:rsidRDefault="009C0DED" w:rsidP="00D10700">
            <w:pPr>
              <w:pStyle w:val="TableParagraph"/>
              <w:spacing w:line="206" w:lineRule="exact"/>
              <w:ind w:left="884"/>
              <w:rPr>
                <w:sz w:val="18"/>
              </w:rPr>
            </w:pPr>
            <w:r>
              <w:rPr>
                <w:sz w:val="18"/>
              </w:rPr>
              <w:t>12.84%</w:t>
            </w:r>
          </w:p>
        </w:tc>
      </w:tr>
      <w:tr w:rsidR="009C0DED" w:rsidTr="009C0DED">
        <w:trPr>
          <w:gridAfter w:val="3"/>
          <w:wAfter w:w="3583" w:type="dxa"/>
          <w:trHeight w:val="240"/>
        </w:trPr>
        <w:tc>
          <w:tcPr>
            <w:tcW w:w="2861" w:type="dxa"/>
            <w:gridSpan w:val="2"/>
          </w:tcPr>
          <w:p w:rsidR="009C0DED" w:rsidRDefault="009C0DED" w:rsidP="009C0DED">
            <w:pPr>
              <w:pStyle w:val="TableParagraph"/>
              <w:spacing w:before="12"/>
              <w:rPr>
                <w:sz w:val="18"/>
              </w:rPr>
            </w:pPr>
            <w:r>
              <w:rPr>
                <w:sz w:val="18"/>
              </w:rPr>
              <w:t>Pending Charges:</w:t>
            </w:r>
          </w:p>
        </w:tc>
        <w:tc>
          <w:tcPr>
            <w:tcW w:w="1205" w:type="dxa"/>
          </w:tcPr>
          <w:p w:rsidR="009C0DED" w:rsidRDefault="009C0DED" w:rsidP="00D10700">
            <w:pPr>
              <w:pStyle w:val="TableParagraph"/>
              <w:spacing w:line="206" w:lineRule="exact"/>
              <w:ind w:right="185"/>
              <w:jc w:val="right"/>
              <w:rPr>
                <w:sz w:val="18"/>
              </w:rPr>
            </w:pPr>
            <w:r>
              <w:rPr>
                <w:w w:val="95"/>
                <w:sz w:val="18"/>
              </w:rPr>
              <w:t>219</w:t>
            </w:r>
          </w:p>
        </w:tc>
        <w:tc>
          <w:tcPr>
            <w:tcW w:w="2237" w:type="dxa"/>
          </w:tcPr>
          <w:p w:rsidR="009C0DED" w:rsidRDefault="009C0DED" w:rsidP="00D10700">
            <w:pPr>
              <w:pStyle w:val="TableParagraph"/>
              <w:spacing w:line="206" w:lineRule="exact"/>
              <w:ind w:left="984"/>
              <w:rPr>
                <w:sz w:val="18"/>
              </w:rPr>
            </w:pPr>
            <w:r>
              <w:rPr>
                <w:sz w:val="18"/>
              </w:rPr>
              <w:t>5.97%</w:t>
            </w:r>
          </w:p>
        </w:tc>
      </w:tr>
      <w:tr w:rsidR="009C0DED" w:rsidTr="009C0DED">
        <w:trPr>
          <w:gridAfter w:val="3"/>
          <w:wAfter w:w="3583" w:type="dxa"/>
          <w:trHeight w:val="220"/>
        </w:trPr>
        <w:tc>
          <w:tcPr>
            <w:tcW w:w="2861" w:type="dxa"/>
            <w:gridSpan w:val="2"/>
          </w:tcPr>
          <w:p w:rsidR="009C0DED" w:rsidRDefault="009C0DED" w:rsidP="009C0DED">
            <w:pPr>
              <w:pStyle w:val="TableParagraph"/>
              <w:spacing w:before="12" w:line="188" w:lineRule="exact"/>
              <w:rPr>
                <w:sz w:val="18"/>
              </w:rPr>
            </w:pPr>
            <w:r>
              <w:rPr>
                <w:sz w:val="18"/>
              </w:rPr>
              <w:t>Other:</w:t>
            </w:r>
          </w:p>
        </w:tc>
        <w:tc>
          <w:tcPr>
            <w:tcW w:w="1205" w:type="dxa"/>
          </w:tcPr>
          <w:p w:rsidR="009C0DED" w:rsidRDefault="009C0DED" w:rsidP="00D10700">
            <w:pPr>
              <w:pStyle w:val="TableParagraph"/>
              <w:spacing w:line="187" w:lineRule="exact"/>
              <w:ind w:right="184"/>
              <w:jc w:val="right"/>
              <w:rPr>
                <w:sz w:val="18"/>
              </w:rPr>
            </w:pPr>
            <w:r>
              <w:rPr>
                <w:w w:val="99"/>
                <w:sz w:val="18"/>
              </w:rPr>
              <w:t>1</w:t>
            </w:r>
          </w:p>
        </w:tc>
        <w:tc>
          <w:tcPr>
            <w:tcW w:w="2237" w:type="dxa"/>
          </w:tcPr>
          <w:p w:rsidR="009C0DED" w:rsidRDefault="009C0DED" w:rsidP="00D10700">
            <w:pPr>
              <w:pStyle w:val="TableParagraph"/>
              <w:spacing w:line="187" w:lineRule="exact"/>
              <w:ind w:left="984"/>
              <w:rPr>
                <w:sz w:val="18"/>
              </w:rPr>
            </w:pPr>
            <w:r>
              <w:rPr>
                <w:sz w:val="18"/>
              </w:rPr>
              <w:t>0.03%</w:t>
            </w:r>
          </w:p>
        </w:tc>
      </w:tr>
    </w:tbl>
    <w:p w:rsidR="00B6017A" w:rsidRPr="00B6017A" w:rsidRDefault="00B6017A" w:rsidP="00B6017A">
      <w:pPr>
        <w:spacing w:after="120"/>
        <w:rPr>
          <w:rFonts w:ascii="Garamond" w:hAnsi="Garamond" w:cs="Times New Roman"/>
          <w:sz w:val="24"/>
          <w:szCs w:val="20"/>
        </w:rPr>
      </w:pPr>
    </w:p>
    <w:sectPr w:rsidR="00B6017A" w:rsidRPr="00B6017A" w:rsidSect="00AD2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A02"/>
    <w:multiLevelType w:val="hybridMultilevel"/>
    <w:tmpl w:val="CCB00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9195D"/>
    <w:multiLevelType w:val="hybridMultilevel"/>
    <w:tmpl w:val="77C8B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BD08BE"/>
    <w:multiLevelType w:val="hybridMultilevel"/>
    <w:tmpl w:val="27F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37A4"/>
    <w:multiLevelType w:val="hybridMultilevel"/>
    <w:tmpl w:val="751C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8E59DC"/>
    <w:multiLevelType w:val="hybridMultilevel"/>
    <w:tmpl w:val="931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0F3D"/>
    <w:multiLevelType w:val="hybridMultilevel"/>
    <w:tmpl w:val="3F982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76DD"/>
    <w:multiLevelType w:val="hybridMultilevel"/>
    <w:tmpl w:val="80D4A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171241A"/>
    <w:multiLevelType w:val="hybridMultilevel"/>
    <w:tmpl w:val="409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5819"/>
    <w:multiLevelType w:val="hybridMultilevel"/>
    <w:tmpl w:val="06E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6EAB"/>
    <w:multiLevelType w:val="hybridMultilevel"/>
    <w:tmpl w:val="BB50805E"/>
    <w:lvl w:ilvl="0" w:tplc="34B446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342A"/>
    <w:multiLevelType w:val="hybridMultilevel"/>
    <w:tmpl w:val="E50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206ED"/>
    <w:multiLevelType w:val="hybridMultilevel"/>
    <w:tmpl w:val="668A1A5E"/>
    <w:lvl w:ilvl="0" w:tplc="04090001">
      <w:start w:val="1"/>
      <w:numFmt w:val="bullet"/>
      <w:lvlText w:val=""/>
      <w:lvlJc w:val="left"/>
      <w:pPr>
        <w:ind w:left="720" w:hanging="360"/>
      </w:pPr>
      <w:rPr>
        <w:rFonts w:ascii="Symbol" w:hAnsi="Symbol" w:hint="default"/>
      </w:rPr>
    </w:lvl>
    <w:lvl w:ilvl="1" w:tplc="D27A38E6">
      <w:numFmt w:val="bullet"/>
      <w:lvlText w:val="•"/>
      <w:lvlJc w:val="left"/>
      <w:pPr>
        <w:ind w:left="1800" w:hanging="72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8406C"/>
    <w:multiLevelType w:val="hybridMultilevel"/>
    <w:tmpl w:val="6AE07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CF13723"/>
    <w:multiLevelType w:val="hybridMultilevel"/>
    <w:tmpl w:val="6B46D6F6"/>
    <w:lvl w:ilvl="0" w:tplc="C72C57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F562F"/>
    <w:multiLevelType w:val="hybridMultilevel"/>
    <w:tmpl w:val="394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90BAE"/>
    <w:multiLevelType w:val="hybridMultilevel"/>
    <w:tmpl w:val="8A60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361C7"/>
    <w:multiLevelType w:val="hybridMultilevel"/>
    <w:tmpl w:val="C57488E2"/>
    <w:lvl w:ilvl="0" w:tplc="07C8B910">
      <w:numFmt w:val="bullet"/>
      <w:lvlText w:val="-"/>
      <w:lvlJc w:val="left"/>
      <w:pPr>
        <w:ind w:left="720" w:hanging="360"/>
      </w:pPr>
      <w:rPr>
        <w:rFonts w:ascii="Symbol" w:hAnsi="Symbol" w:hint="default"/>
        <w:b/>
        <w:sz w:val="1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DE3945"/>
    <w:multiLevelType w:val="hybridMultilevel"/>
    <w:tmpl w:val="A8CE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B2F41"/>
    <w:multiLevelType w:val="hybridMultilevel"/>
    <w:tmpl w:val="2DD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C208C"/>
    <w:multiLevelType w:val="hybridMultilevel"/>
    <w:tmpl w:val="B85C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93A8B"/>
    <w:multiLevelType w:val="hybridMultilevel"/>
    <w:tmpl w:val="876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75C59"/>
    <w:multiLevelType w:val="hybridMultilevel"/>
    <w:tmpl w:val="EFBC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57746"/>
    <w:multiLevelType w:val="hybridMultilevel"/>
    <w:tmpl w:val="346440C2"/>
    <w:lvl w:ilvl="0" w:tplc="835825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12"/>
  </w:num>
  <w:num w:numId="5">
    <w:abstractNumId w:val="1"/>
  </w:num>
  <w:num w:numId="6">
    <w:abstractNumId w:val="6"/>
  </w:num>
  <w:num w:numId="7">
    <w:abstractNumId w:val="4"/>
  </w:num>
  <w:num w:numId="8">
    <w:abstractNumId w:val="5"/>
  </w:num>
  <w:num w:numId="9">
    <w:abstractNumId w:val="3"/>
  </w:num>
  <w:num w:numId="10">
    <w:abstractNumId w:val="7"/>
  </w:num>
  <w:num w:numId="11">
    <w:abstractNumId w:val="8"/>
  </w:num>
  <w:num w:numId="12">
    <w:abstractNumId w:val="18"/>
  </w:num>
  <w:num w:numId="13">
    <w:abstractNumId w:val="10"/>
  </w:num>
  <w:num w:numId="14">
    <w:abstractNumId w:val="0"/>
  </w:num>
  <w:num w:numId="15">
    <w:abstractNumId w:val="21"/>
  </w:num>
  <w:num w:numId="16">
    <w:abstractNumId w:val="19"/>
  </w:num>
  <w:num w:numId="17">
    <w:abstractNumId w:val="15"/>
  </w:num>
  <w:num w:numId="18">
    <w:abstractNumId w:val="20"/>
  </w:num>
  <w:num w:numId="19">
    <w:abstractNumId w:val="22"/>
  </w:num>
  <w:num w:numId="20">
    <w:abstractNumId w:val="13"/>
  </w:num>
  <w:num w:numId="21">
    <w:abstractNumId w:val="9"/>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E2"/>
    <w:rsid w:val="000028C6"/>
    <w:rsid w:val="0001656D"/>
    <w:rsid w:val="00023EB4"/>
    <w:rsid w:val="00035C67"/>
    <w:rsid w:val="0004048B"/>
    <w:rsid w:val="00044043"/>
    <w:rsid w:val="00050A52"/>
    <w:rsid w:val="00050BD8"/>
    <w:rsid w:val="00052A28"/>
    <w:rsid w:val="00053788"/>
    <w:rsid w:val="00054A3A"/>
    <w:rsid w:val="0006023C"/>
    <w:rsid w:val="00064C5E"/>
    <w:rsid w:val="000662FC"/>
    <w:rsid w:val="00071E37"/>
    <w:rsid w:val="00072E70"/>
    <w:rsid w:val="00075924"/>
    <w:rsid w:val="00086907"/>
    <w:rsid w:val="00087FD7"/>
    <w:rsid w:val="00092D35"/>
    <w:rsid w:val="00095D38"/>
    <w:rsid w:val="000A131C"/>
    <w:rsid w:val="000B071B"/>
    <w:rsid w:val="000C2314"/>
    <w:rsid w:val="000C4B64"/>
    <w:rsid w:val="000C4EEB"/>
    <w:rsid w:val="000C7893"/>
    <w:rsid w:val="000D4E5D"/>
    <w:rsid w:val="000D6AF1"/>
    <w:rsid w:val="000F14BC"/>
    <w:rsid w:val="000F7D17"/>
    <w:rsid w:val="001012F3"/>
    <w:rsid w:val="00103AF8"/>
    <w:rsid w:val="00103CC5"/>
    <w:rsid w:val="00105457"/>
    <w:rsid w:val="0010612D"/>
    <w:rsid w:val="0011184C"/>
    <w:rsid w:val="00114E8D"/>
    <w:rsid w:val="00121FD5"/>
    <w:rsid w:val="0012527E"/>
    <w:rsid w:val="00126228"/>
    <w:rsid w:val="001309EA"/>
    <w:rsid w:val="00133E6B"/>
    <w:rsid w:val="00137EC7"/>
    <w:rsid w:val="0014013B"/>
    <w:rsid w:val="00142178"/>
    <w:rsid w:val="00142ADE"/>
    <w:rsid w:val="00144118"/>
    <w:rsid w:val="00145689"/>
    <w:rsid w:val="00150592"/>
    <w:rsid w:val="0015165F"/>
    <w:rsid w:val="001516E3"/>
    <w:rsid w:val="001531F7"/>
    <w:rsid w:val="00164DDD"/>
    <w:rsid w:val="001675E0"/>
    <w:rsid w:val="001746DE"/>
    <w:rsid w:val="0017788F"/>
    <w:rsid w:val="00180FAF"/>
    <w:rsid w:val="00191579"/>
    <w:rsid w:val="00191DAC"/>
    <w:rsid w:val="001A095C"/>
    <w:rsid w:val="001A34ED"/>
    <w:rsid w:val="001A4062"/>
    <w:rsid w:val="001A5BAA"/>
    <w:rsid w:val="001A6808"/>
    <w:rsid w:val="001A7CF9"/>
    <w:rsid w:val="001A7DC7"/>
    <w:rsid w:val="001B07B8"/>
    <w:rsid w:val="001C165C"/>
    <w:rsid w:val="001D2BE9"/>
    <w:rsid w:val="001D2CF6"/>
    <w:rsid w:val="001D4B49"/>
    <w:rsid w:val="001E14DC"/>
    <w:rsid w:val="0020020C"/>
    <w:rsid w:val="002046D9"/>
    <w:rsid w:val="00210021"/>
    <w:rsid w:val="00211525"/>
    <w:rsid w:val="00212D2F"/>
    <w:rsid w:val="002167DF"/>
    <w:rsid w:val="00240833"/>
    <w:rsid w:val="00243108"/>
    <w:rsid w:val="002515C2"/>
    <w:rsid w:val="002534FA"/>
    <w:rsid w:val="002537B4"/>
    <w:rsid w:val="002549F7"/>
    <w:rsid w:val="00261683"/>
    <w:rsid w:val="00267268"/>
    <w:rsid w:val="0026753D"/>
    <w:rsid w:val="00272A63"/>
    <w:rsid w:val="00276AEB"/>
    <w:rsid w:val="002801E8"/>
    <w:rsid w:val="002822B4"/>
    <w:rsid w:val="002878E3"/>
    <w:rsid w:val="00291455"/>
    <w:rsid w:val="00294CB1"/>
    <w:rsid w:val="00297BAE"/>
    <w:rsid w:val="002A051F"/>
    <w:rsid w:val="002A1283"/>
    <w:rsid w:val="002A17F4"/>
    <w:rsid w:val="002A189B"/>
    <w:rsid w:val="002A3E33"/>
    <w:rsid w:val="002A4DAC"/>
    <w:rsid w:val="002A6050"/>
    <w:rsid w:val="002A6E59"/>
    <w:rsid w:val="002B7E63"/>
    <w:rsid w:val="002C119D"/>
    <w:rsid w:val="002E0639"/>
    <w:rsid w:val="002E2700"/>
    <w:rsid w:val="002E2CE2"/>
    <w:rsid w:val="002E405B"/>
    <w:rsid w:val="002E5840"/>
    <w:rsid w:val="002F3BE5"/>
    <w:rsid w:val="002F59E6"/>
    <w:rsid w:val="002F7B39"/>
    <w:rsid w:val="0030164D"/>
    <w:rsid w:val="00302FA2"/>
    <w:rsid w:val="0030492C"/>
    <w:rsid w:val="00312417"/>
    <w:rsid w:val="00314662"/>
    <w:rsid w:val="003171D2"/>
    <w:rsid w:val="00325769"/>
    <w:rsid w:val="00337AA1"/>
    <w:rsid w:val="00341300"/>
    <w:rsid w:val="00352A24"/>
    <w:rsid w:val="00360D24"/>
    <w:rsid w:val="0036131A"/>
    <w:rsid w:val="003629D6"/>
    <w:rsid w:val="003634EC"/>
    <w:rsid w:val="00365F5A"/>
    <w:rsid w:val="00372191"/>
    <w:rsid w:val="00372ED2"/>
    <w:rsid w:val="003774CF"/>
    <w:rsid w:val="00377B6F"/>
    <w:rsid w:val="00377F28"/>
    <w:rsid w:val="0038157E"/>
    <w:rsid w:val="003874E8"/>
    <w:rsid w:val="00387CD9"/>
    <w:rsid w:val="003A06AA"/>
    <w:rsid w:val="003A3E05"/>
    <w:rsid w:val="003A41A7"/>
    <w:rsid w:val="003A71E8"/>
    <w:rsid w:val="003A7765"/>
    <w:rsid w:val="003B56E1"/>
    <w:rsid w:val="003B760E"/>
    <w:rsid w:val="003C1CBD"/>
    <w:rsid w:val="003C4B59"/>
    <w:rsid w:val="003C54B9"/>
    <w:rsid w:val="003D2EE7"/>
    <w:rsid w:val="003E5B0E"/>
    <w:rsid w:val="003E6A81"/>
    <w:rsid w:val="003E76D1"/>
    <w:rsid w:val="003E7D2B"/>
    <w:rsid w:val="003F0E0E"/>
    <w:rsid w:val="003F16D0"/>
    <w:rsid w:val="003F30FD"/>
    <w:rsid w:val="003F54C4"/>
    <w:rsid w:val="003F75EB"/>
    <w:rsid w:val="003F7754"/>
    <w:rsid w:val="004072DB"/>
    <w:rsid w:val="00415CAF"/>
    <w:rsid w:val="00425F60"/>
    <w:rsid w:val="00427359"/>
    <w:rsid w:val="00433F5C"/>
    <w:rsid w:val="00435B9D"/>
    <w:rsid w:val="00435FE4"/>
    <w:rsid w:val="00440945"/>
    <w:rsid w:val="0044396D"/>
    <w:rsid w:val="00446BF0"/>
    <w:rsid w:val="00447276"/>
    <w:rsid w:val="00447A16"/>
    <w:rsid w:val="0045445C"/>
    <w:rsid w:val="00457A26"/>
    <w:rsid w:val="00465E62"/>
    <w:rsid w:val="00473825"/>
    <w:rsid w:val="004778C1"/>
    <w:rsid w:val="00477F29"/>
    <w:rsid w:val="00481B1A"/>
    <w:rsid w:val="00482959"/>
    <w:rsid w:val="00482CA6"/>
    <w:rsid w:val="004836F1"/>
    <w:rsid w:val="00490307"/>
    <w:rsid w:val="004909EA"/>
    <w:rsid w:val="00496EB8"/>
    <w:rsid w:val="004A14FA"/>
    <w:rsid w:val="004A3E13"/>
    <w:rsid w:val="004B4DE1"/>
    <w:rsid w:val="004B6A8D"/>
    <w:rsid w:val="004B6D09"/>
    <w:rsid w:val="004C407E"/>
    <w:rsid w:val="004C44E0"/>
    <w:rsid w:val="004C4FF9"/>
    <w:rsid w:val="004C5CF8"/>
    <w:rsid w:val="004D6BDF"/>
    <w:rsid w:val="004E1F5F"/>
    <w:rsid w:val="004F42F9"/>
    <w:rsid w:val="00505F77"/>
    <w:rsid w:val="00516E84"/>
    <w:rsid w:val="00524F25"/>
    <w:rsid w:val="00525687"/>
    <w:rsid w:val="00526E19"/>
    <w:rsid w:val="00534DD2"/>
    <w:rsid w:val="00536514"/>
    <w:rsid w:val="005369BF"/>
    <w:rsid w:val="0054245B"/>
    <w:rsid w:val="005438EC"/>
    <w:rsid w:val="00547046"/>
    <w:rsid w:val="005563A1"/>
    <w:rsid w:val="0055702E"/>
    <w:rsid w:val="00561D91"/>
    <w:rsid w:val="00570329"/>
    <w:rsid w:val="00576F48"/>
    <w:rsid w:val="00584149"/>
    <w:rsid w:val="00596757"/>
    <w:rsid w:val="005A4412"/>
    <w:rsid w:val="005B5575"/>
    <w:rsid w:val="005B6462"/>
    <w:rsid w:val="005C07DE"/>
    <w:rsid w:val="005C0C08"/>
    <w:rsid w:val="005C48FB"/>
    <w:rsid w:val="005E14ED"/>
    <w:rsid w:val="005E3E6D"/>
    <w:rsid w:val="005E72EE"/>
    <w:rsid w:val="00612487"/>
    <w:rsid w:val="00613566"/>
    <w:rsid w:val="00620893"/>
    <w:rsid w:val="00620BF6"/>
    <w:rsid w:val="00623FD0"/>
    <w:rsid w:val="00636E6B"/>
    <w:rsid w:val="006456B6"/>
    <w:rsid w:val="00652024"/>
    <w:rsid w:val="006601EC"/>
    <w:rsid w:val="00660E85"/>
    <w:rsid w:val="00662E7B"/>
    <w:rsid w:val="00667E8C"/>
    <w:rsid w:val="00672929"/>
    <w:rsid w:val="00677ABF"/>
    <w:rsid w:val="0068146F"/>
    <w:rsid w:val="006818AF"/>
    <w:rsid w:val="00684C29"/>
    <w:rsid w:val="00691C4E"/>
    <w:rsid w:val="0069621A"/>
    <w:rsid w:val="00697F1F"/>
    <w:rsid w:val="006A6E67"/>
    <w:rsid w:val="006B20E9"/>
    <w:rsid w:val="006B5658"/>
    <w:rsid w:val="006C2CF5"/>
    <w:rsid w:val="006C4D52"/>
    <w:rsid w:val="006D0D80"/>
    <w:rsid w:val="006D3459"/>
    <w:rsid w:val="006D7AE9"/>
    <w:rsid w:val="006E19D0"/>
    <w:rsid w:val="006E3FB5"/>
    <w:rsid w:val="006E562D"/>
    <w:rsid w:val="006E599A"/>
    <w:rsid w:val="006E5C78"/>
    <w:rsid w:val="006E66C1"/>
    <w:rsid w:val="006F162D"/>
    <w:rsid w:val="006F784B"/>
    <w:rsid w:val="00701AC7"/>
    <w:rsid w:val="0070762D"/>
    <w:rsid w:val="007134B2"/>
    <w:rsid w:val="00717BDE"/>
    <w:rsid w:val="00723C61"/>
    <w:rsid w:val="0072721D"/>
    <w:rsid w:val="0075133D"/>
    <w:rsid w:val="00760131"/>
    <w:rsid w:val="00764271"/>
    <w:rsid w:val="00767BEC"/>
    <w:rsid w:val="00770999"/>
    <w:rsid w:val="007722F8"/>
    <w:rsid w:val="007832D2"/>
    <w:rsid w:val="007834F2"/>
    <w:rsid w:val="00790538"/>
    <w:rsid w:val="00790692"/>
    <w:rsid w:val="00791EE8"/>
    <w:rsid w:val="007A4A12"/>
    <w:rsid w:val="007B1A9B"/>
    <w:rsid w:val="007B2788"/>
    <w:rsid w:val="007B4B1D"/>
    <w:rsid w:val="007C082F"/>
    <w:rsid w:val="007C088F"/>
    <w:rsid w:val="007C4418"/>
    <w:rsid w:val="007D005C"/>
    <w:rsid w:val="007D25F8"/>
    <w:rsid w:val="007D2FF0"/>
    <w:rsid w:val="007D4082"/>
    <w:rsid w:val="007D631F"/>
    <w:rsid w:val="007E0044"/>
    <w:rsid w:val="007E2192"/>
    <w:rsid w:val="007E4F0A"/>
    <w:rsid w:val="007E536E"/>
    <w:rsid w:val="007F1B4F"/>
    <w:rsid w:val="007F2BFE"/>
    <w:rsid w:val="007F54A7"/>
    <w:rsid w:val="007F66A2"/>
    <w:rsid w:val="007F6E7C"/>
    <w:rsid w:val="00803B60"/>
    <w:rsid w:val="008062F8"/>
    <w:rsid w:val="00821C41"/>
    <w:rsid w:val="00824424"/>
    <w:rsid w:val="0083106B"/>
    <w:rsid w:val="00832283"/>
    <w:rsid w:val="00832B72"/>
    <w:rsid w:val="0083348E"/>
    <w:rsid w:val="00837990"/>
    <w:rsid w:val="008415AE"/>
    <w:rsid w:val="00841B92"/>
    <w:rsid w:val="0084211A"/>
    <w:rsid w:val="00842162"/>
    <w:rsid w:val="008444BC"/>
    <w:rsid w:val="00844FE9"/>
    <w:rsid w:val="008466EA"/>
    <w:rsid w:val="008550C4"/>
    <w:rsid w:val="00862549"/>
    <w:rsid w:val="0086336A"/>
    <w:rsid w:val="00864867"/>
    <w:rsid w:val="0087101C"/>
    <w:rsid w:val="00871107"/>
    <w:rsid w:val="00873EB8"/>
    <w:rsid w:val="008774D5"/>
    <w:rsid w:val="00885570"/>
    <w:rsid w:val="00887DBD"/>
    <w:rsid w:val="008A4545"/>
    <w:rsid w:val="008A4D18"/>
    <w:rsid w:val="008B22DC"/>
    <w:rsid w:val="008C1816"/>
    <w:rsid w:val="008C1B16"/>
    <w:rsid w:val="008C2579"/>
    <w:rsid w:val="008E6840"/>
    <w:rsid w:val="008F2A10"/>
    <w:rsid w:val="008F2EBD"/>
    <w:rsid w:val="008F5470"/>
    <w:rsid w:val="009022D3"/>
    <w:rsid w:val="00902F90"/>
    <w:rsid w:val="00913466"/>
    <w:rsid w:val="009151D3"/>
    <w:rsid w:val="00924D36"/>
    <w:rsid w:val="00927662"/>
    <w:rsid w:val="00931B85"/>
    <w:rsid w:val="009331D2"/>
    <w:rsid w:val="00934A75"/>
    <w:rsid w:val="0094033C"/>
    <w:rsid w:val="0094200A"/>
    <w:rsid w:val="00950529"/>
    <w:rsid w:val="00950957"/>
    <w:rsid w:val="00952D3B"/>
    <w:rsid w:val="009552C2"/>
    <w:rsid w:val="009560C4"/>
    <w:rsid w:val="00956A21"/>
    <w:rsid w:val="00957F66"/>
    <w:rsid w:val="00960CEA"/>
    <w:rsid w:val="00961866"/>
    <w:rsid w:val="00964116"/>
    <w:rsid w:val="00967BBC"/>
    <w:rsid w:val="00970BC3"/>
    <w:rsid w:val="00970D51"/>
    <w:rsid w:val="00973CA0"/>
    <w:rsid w:val="00975BD6"/>
    <w:rsid w:val="00980E5A"/>
    <w:rsid w:val="0098746E"/>
    <w:rsid w:val="00991D5F"/>
    <w:rsid w:val="00996690"/>
    <w:rsid w:val="0099784B"/>
    <w:rsid w:val="009A132A"/>
    <w:rsid w:val="009A1E60"/>
    <w:rsid w:val="009B197B"/>
    <w:rsid w:val="009B2A80"/>
    <w:rsid w:val="009B6610"/>
    <w:rsid w:val="009C0DED"/>
    <w:rsid w:val="009D0940"/>
    <w:rsid w:val="009D13D8"/>
    <w:rsid w:val="009D30DD"/>
    <w:rsid w:val="009D5E73"/>
    <w:rsid w:val="009E4939"/>
    <w:rsid w:val="009E7080"/>
    <w:rsid w:val="009E7424"/>
    <w:rsid w:val="009F0F0F"/>
    <w:rsid w:val="009F3455"/>
    <w:rsid w:val="009F4170"/>
    <w:rsid w:val="009F45A2"/>
    <w:rsid w:val="00A0151C"/>
    <w:rsid w:val="00A10C77"/>
    <w:rsid w:val="00A14711"/>
    <w:rsid w:val="00A14806"/>
    <w:rsid w:val="00A21ACE"/>
    <w:rsid w:val="00A314DB"/>
    <w:rsid w:val="00A31715"/>
    <w:rsid w:val="00A33766"/>
    <w:rsid w:val="00A35454"/>
    <w:rsid w:val="00A35936"/>
    <w:rsid w:val="00A4685C"/>
    <w:rsid w:val="00A53BE6"/>
    <w:rsid w:val="00A574BD"/>
    <w:rsid w:val="00A605DE"/>
    <w:rsid w:val="00A612AA"/>
    <w:rsid w:val="00A6179B"/>
    <w:rsid w:val="00A64CFB"/>
    <w:rsid w:val="00A65D18"/>
    <w:rsid w:val="00A66CE2"/>
    <w:rsid w:val="00A72223"/>
    <w:rsid w:val="00A83827"/>
    <w:rsid w:val="00A854F6"/>
    <w:rsid w:val="00A91C17"/>
    <w:rsid w:val="00AA080D"/>
    <w:rsid w:val="00AA2781"/>
    <w:rsid w:val="00AA57BD"/>
    <w:rsid w:val="00AB3BBD"/>
    <w:rsid w:val="00AB4C28"/>
    <w:rsid w:val="00AB69B2"/>
    <w:rsid w:val="00AC156A"/>
    <w:rsid w:val="00AC4E0D"/>
    <w:rsid w:val="00AD2B2D"/>
    <w:rsid w:val="00AD6792"/>
    <w:rsid w:val="00AD7075"/>
    <w:rsid w:val="00AE1669"/>
    <w:rsid w:val="00AE2322"/>
    <w:rsid w:val="00AF1DF8"/>
    <w:rsid w:val="00AF299A"/>
    <w:rsid w:val="00AF7182"/>
    <w:rsid w:val="00B0221B"/>
    <w:rsid w:val="00B07475"/>
    <w:rsid w:val="00B1077C"/>
    <w:rsid w:val="00B10BFF"/>
    <w:rsid w:val="00B12AA2"/>
    <w:rsid w:val="00B27170"/>
    <w:rsid w:val="00B3020F"/>
    <w:rsid w:val="00B33A45"/>
    <w:rsid w:val="00B340C1"/>
    <w:rsid w:val="00B343F4"/>
    <w:rsid w:val="00B433B8"/>
    <w:rsid w:val="00B47AB6"/>
    <w:rsid w:val="00B52B8A"/>
    <w:rsid w:val="00B54443"/>
    <w:rsid w:val="00B6017A"/>
    <w:rsid w:val="00B60820"/>
    <w:rsid w:val="00B629AB"/>
    <w:rsid w:val="00B6468E"/>
    <w:rsid w:val="00B708E6"/>
    <w:rsid w:val="00B7370D"/>
    <w:rsid w:val="00B74FA4"/>
    <w:rsid w:val="00B755CF"/>
    <w:rsid w:val="00B763AD"/>
    <w:rsid w:val="00B80645"/>
    <w:rsid w:val="00B819BB"/>
    <w:rsid w:val="00B8705D"/>
    <w:rsid w:val="00B9130F"/>
    <w:rsid w:val="00B91329"/>
    <w:rsid w:val="00B926B9"/>
    <w:rsid w:val="00B92F69"/>
    <w:rsid w:val="00B9767D"/>
    <w:rsid w:val="00BA222E"/>
    <w:rsid w:val="00BA3688"/>
    <w:rsid w:val="00BA3843"/>
    <w:rsid w:val="00BA7E01"/>
    <w:rsid w:val="00BB26DD"/>
    <w:rsid w:val="00BC15DD"/>
    <w:rsid w:val="00BC540B"/>
    <w:rsid w:val="00BC6D73"/>
    <w:rsid w:val="00BD00B8"/>
    <w:rsid w:val="00BD2980"/>
    <w:rsid w:val="00BE6EFD"/>
    <w:rsid w:val="00BF50E2"/>
    <w:rsid w:val="00C0413F"/>
    <w:rsid w:val="00C06C58"/>
    <w:rsid w:val="00C13448"/>
    <w:rsid w:val="00C17BD5"/>
    <w:rsid w:val="00C17D56"/>
    <w:rsid w:val="00C236F7"/>
    <w:rsid w:val="00C34BCE"/>
    <w:rsid w:val="00C419F4"/>
    <w:rsid w:val="00C44323"/>
    <w:rsid w:val="00C44F54"/>
    <w:rsid w:val="00C45DA3"/>
    <w:rsid w:val="00C53842"/>
    <w:rsid w:val="00C53EF9"/>
    <w:rsid w:val="00C64E59"/>
    <w:rsid w:val="00C6634F"/>
    <w:rsid w:val="00C6760C"/>
    <w:rsid w:val="00C71DB5"/>
    <w:rsid w:val="00C73DDD"/>
    <w:rsid w:val="00C847B7"/>
    <w:rsid w:val="00C910E6"/>
    <w:rsid w:val="00C94A72"/>
    <w:rsid w:val="00C965EF"/>
    <w:rsid w:val="00C972A5"/>
    <w:rsid w:val="00CA28D1"/>
    <w:rsid w:val="00CB2AA4"/>
    <w:rsid w:val="00CB4910"/>
    <w:rsid w:val="00CC3569"/>
    <w:rsid w:val="00CD4220"/>
    <w:rsid w:val="00CD6345"/>
    <w:rsid w:val="00CE1270"/>
    <w:rsid w:val="00CE153A"/>
    <w:rsid w:val="00CE2734"/>
    <w:rsid w:val="00CF29CB"/>
    <w:rsid w:val="00CF3B1D"/>
    <w:rsid w:val="00D072B8"/>
    <w:rsid w:val="00D07923"/>
    <w:rsid w:val="00D10700"/>
    <w:rsid w:val="00D13666"/>
    <w:rsid w:val="00D20658"/>
    <w:rsid w:val="00D2119A"/>
    <w:rsid w:val="00D33B5F"/>
    <w:rsid w:val="00D33E80"/>
    <w:rsid w:val="00D349CD"/>
    <w:rsid w:val="00D34AAC"/>
    <w:rsid w:val="00D360D5"/>
    <w:rsid w:val="00D368D6"/>
    <w:rsid w:val="00D36E8A"/>
    <w:rsid w:val="00D3755B"/>
    <w:rsid w:val="00D42B0A"/>
    <w:rsid w:val="00D4351F"/>
    <w:rsid w:val="00D467BD"/>
    <w:rsid w:val="00D545AE"/>
    <w:rsid w:val="00D63DB4"/>
    <w:rsid w:val="00D65899"/>
    <w:rsid w:val="00D671A8"/>
    <w:rsid w:val="00D722D9"/>
    <w:rsid w:val="00D73CCC"/>
    <w:rsid w:val="00D75021"/>
    <w:rsid w:val="00D83B68"/>
    <w:rsid w:val="00D87C06"/>
    <w:rsid w:val="00D90223"/>
    <w:rsid w:val="00D90931"/>
    <w:rsid w:val="00D91C24"/>
    <w:rsid w:val="00D92BE8"/>
    <w:rsid w:val="00D93A3E"/>
    <w:rsid w:val="00D95E7C"/>
    <w:rsid w:val="00DA31B0"/>
    <w:rsid w:val="00DA4901"/>
    <w:rsid w:val="00DB113F"/>
    <w:rsid w:val="00DB3411"/>
    <w:rsid w:val="00DB35E7"/>
    <w:rsid w:val="00DB391A"/>
    <w:rsid w:val="00DB5572"/>
    <w:rsid w:val="00DC00A1"/>
    <w:rsid w:val="00DC2012"/>
    <w:rsid w:val="00DC4593"/>
    <w:rsid w:val="00DD227A"/>
    <w:rsid w:val="00DD2A0C"/>
    <w:rsid w:val="00DD4BAB"/>
    <w:rsid w:val="00DD6327"/>
    <w:rsid w:val="00DD74C0"/>
    <w:rsid w:val="00DE0647"/>
    <w:rsid w:val="00DE4F55"/>
    <w:rsid w:val="00DE7697"/>
    <w:rsid w:val="00DF219A"/>
    <w:rsid w:val="00DF228C"/>
    <w:rsid w:val="00E035AB"/>
    <w:rsid w:val="00E04E6E"/>
    <w:rsid w:val="00E06FE4"/>
    <w:rsid w:val="00E074DB"/>
    <w:rsid w:val="00E10BBF"/>
    <w:rsid w:val="00E16FD0"/>
    <w:rsid w:val="00E23B0E"/>
    <w:rsid w:val="00E24DD0"/>
    <w:rsid w:val="00E33AD2"/>
    <w:rsid w:val="00E363A3"/>
    <w:rsid w:val="00E41D70"/>
    <w:rsid w:val="00E52B3F"/>
    <w:rsid w:val="00E52DF5"/>
    <w:rsid w:val="00E60BE2"/>
    <w:rsid w:val="00E66CF9"/>
    <w:rsid w:val="00E76B80"/>
    <w:rsid w:val="00E77847"/>
    <w:rsid w:val="00E84874"/>
    <w:rsid w:val="00E8605F"/>
    <w:rsid w:val="00E90157"/>
    <w:rsid w:val="00E92C3D"/>
    <w:rsid w:val="00E93E6B"/>
    <w:rsid w:val="00EB345D"/>
    <w:rsid w:val="00EC512D"/>
    <w:rsid w:val="00ED3AB5"/>
    <w:rsid w:val="00ED57B5"/>
    <w:rsid w:val="00EF22F1"/>
    <w:rsid w:val="00EF2E08"/>
    <w:rsid w:val="00F0103E"/>
    <w:rsid w:val="00F07C85"/>
    <w:rsid w:val="00F16412"/>
    <w:rsid w:val="00F169BD"/>
    <w:rsid w:val="00F21306"/>
    <w:rsid w:val="00F218EF"/>
    <w:rsid w:val="00F329A8"/>
    <w:rsid w:val="00F33BB0"/>
    <w:rsid w:val="00F42810"/>
    <w:rsid w:val="00F5053C"/>
    <w:rsid w:val="00F53815"/>
    <w:rsid w:val="00F57295"/>
    <w:rsid w:val="00F81742"/>
    <w:rsid w:val="00F8708C"/>
    <w:rsid w:val="00F94F41"/>
    <w:rsid w:val="00F96115"/>
    <w:rsid w:val="00F96258"/>
    <w:rsid w:val="00F96F29"/>
    <w:rsid w:val="00FC3A5A"/>
    <w:rsid w:val="00FC5FBC"/>
    <w:rsid w:val="00FC7C19"/>
    <w:rsid w:val="00FD1D89"/>
    <w:rsid w:val="00FE0FD7"/>
    <w:rsid w:val="00FE572B"/>
    <w:rsid w:val="00FF3636"/>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2C0"/>
  <w15:docId w15:val="{81005BED-4194-4503-902B-0616ADBC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AD"/>
    <w:pPr>
      <w:ind w:left="720"/>
      <w:contextualSpacing/>
    </w:pPr>
  </w:style>
  <w:style w:type="paragraph" w:customStyle="1" w:styleId="TableParagraph">
    <w:name w:val="Table Paragraph"/>
    <w:basedOn w:val="Normal"/>
    <w:uiPriority w:val="1"/>
    <w:qFormat/>
    <w:rsid w:val="00FD1D89"/>
    <w:pPr>
      <w:widowControl w:val="0"/>
      <w:spacing w:after="0" w:line="240" w:lineRule="auto"/>
    </w:pPr>
  </w:style>
  <w:style w:type="paragraph" w:styleId="BalloonText">
    <w:name w:val="Balloon Text"/>
    <w:basedOn w:val="Normal"/>
    <w:link w:val="BalloonTextChar"/>
    <w:uiPriority w:val="99"/>
    <w:semiHidden/>
    <w:unhideWhenUsed/>
    <w:rsid w:val="00505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77"/>
    <w:rPr>
      <w:rFonts w:ascii="Segoe UI" w:hAnsi="Segoe UI" w:cs="Segoe UI"/>
      <w:sz w:val="18"/>
      <w:szCs w:val="18"/>
    </w:rPr>
  </w:style>
  <w:style w:type="table" w:styleId="TableGrid">
    <w:name w:val="Table Grid"/>
    <w:basedOn w:val="TableNormal"/>
    <w:uiPriority w:val="39"/>
    <w:rsid w:val="00F1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C0DED"/>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9C0DED"/>
    <w:rPr>
      <w:rFonts w:ascii="Arial" w:eastAsia="Arial" w:hAnsi="Arial" w:cs="Arial"/>
      <w:sz w:val="18"/>
      <w:szCs w:val="18"/>
    </w:rPr>
  </w:style>
  <w:style w:type="paragraph" w:customStyle="1" w:styleId="Default">
    <w:name w:val="Default"/>
    <w:rsid w:val="00E9015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75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9865">
      <w:bodyDiv w:val="1"/>
      <w:marLeft w:val="0"/>
      <w:marRight w:val="0"/>
      <w:marTop w:val="0"/>
      <w:marBottom w:val="0"/>
      <w:divBdr>
        <w:top w:val="none" w:sz="0" w:space="0" w:color="auto"/>
        <w:left w:val="none" w:sz="0" w:space="0" w:color="auto"/>
        <w:bottom w:val="none" w:sz="0" w:space="0" w:color="auto"/>
        <w:right w:val="none" w:sz="0" w:space="0" w:color="auto"/>
      </w:divBdr>
    </w:div>
    <w:div w:id="3127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AD16-A4A1-427B-8AA4-08EB9F38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NM HED</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Anderson</dc:creator>
  <cp:keywords/>
  <dc:description/>
  <cp:lastModifiedBy>Ribeiro, Michelle, NMHED</cp:lastModifiedBy>
  <cp:revision>4</cp:revision>
  <cp:lastPrinted>2019-12-31T18:15:00Z</cp:lastPrinted>
  <dcterms:created xsi:type="dcterms:W3CDTF">2020-12-29T18:15:00Z</dcterms:created>
  <dcterms:modified xsi:type="dcterms:W3CDTF">2020-12-29T18:22:00Z</dcterms:modified>
</cp:coreProperties>
</file>