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2B8" w:rsidRPr="005204DB" w:rsidRDefault="00FE1595" w:rsidP="000B6FB9">
      <w:pPr>
        <w:spacing w:after="0" w:line="240" w:lineRule="auto"/>
        <w:jc w:val="center"/>
        <w:rPr>
          <w:rFonts w:ascii="Times New Roman" w:eastAsia="Times New Roman" w:hAnsi="Times New Roman" w:cs="Times New Roman"/>
          <w:b/>
          <w:bCs/>
          <w:kern w:val="36"/>
          <w:sz w:val="23"/>
          <w:szCs w:val="23"/>
          <w:u w:val="single"/>
        </w:rPr>
      </w:pPr>
      <w:r w:rsidRPr="005204DB">
        <w:rPr>
          <w:rFonts w:ascii="Times New Roman" w:eastAsia="Times New Roman" w:hAnsi="Times New Roman" w:cs="Times New Roman"/>
          <w:b/>
          <w:bCs/>
          <w:kern w:val="36"/>
          <w:sz w:val="23"/>
          <w:szCs w:val="23"/>
          <w:u w:val="single"/>
        </w:rPr>
        <w:t>Missouri Narrative Report 2019-2020</w:t>
      </w:r>
    </w:p>
    <w:p w:rsidR="005204DB" w:rsidRPr="005204DB" w:rsidRDefault="005204DB" w:rsidP="000B6FB9">
      <w:pPr>
        <w:spacing w:after="0" w:line="240" w:lineRule="auto"/>
        <w:jc w:val="center"/>
        <w:rPr>
          <w:rFonts w:ascii="Times New Roman" w:eastAsiaTheme="minorEastAsia" w:hAnsi="Times New Roman" w:cs="Times New Roman"/>
          <w:sz w:val="23"/>
          <w:szCs w:val="23"/>
        </w:rPr>
      </w:pPr>
      <w:r w:rsidRPr="005204DB">
        <w:rPr>
          <w:rFonts w:ascii="Times New Roman" w:eastAsia="Times New Roman" w:hAnsi="Times New Roman" w:cs="Times New Roman"/>
          <w:b/>
          <w:bCs/>
          <w:kern w:val="36"/>
          <w:sz w:val="23"/>
          <w:szCs w:val="23"/>
        </w:rPr>
        <w:t>Federal PY19/Missouri FY20 July 1, 2019-June 30, 2020</w:t>
      </w:r>
    </w:p>
    <w:p w:rsidR="00FD62B8" w:rsidRPr="005204DB" w:rsidRDefault="008E08D5" w:rsidP="000B6FB9">
      <w:pPr>
        <w:numPr>
          <w:ilvl w:val="0"/>
          <w:numId w:val="1"/>
        </w:numPr>
        <w:spacing w:after="0" w:line="240" w:lineRule="auto"/>
        <w:contextualSpacing/>
        <w:rPr>
          <w:rFonts w:ascii="Times New Roman" w:eastAsiaTheme="minorEastAsia" w:hAnsi="Times New Roman" w:cs="Times New Roman"/>
          <w:b/>
          <w:sz w:val="23"/>
          <w:szCs w:val="23"/>
        </w:rPr>
      </w:pPr>
      <w:r w:rsidRPr="005204DB">
        <w:rPr>
          <w:rFonts w:ascii="Times New Roman" w:eastAsiaTheme="minorEastAsia" w:hAnsi="Times New Roman" w:cs="Times New Roman"/>
          <w:b/>
          <w:sz w:val="23"/>
          <w:szCs w:val="23"/>
          <w:u w:val="single"/>
        </w:rPr>
        <w:t>State Leadership Funds</w:t>
      </w:r>
      <w:r w:rsidR="00FD62B8" w:rsidRPr="005204DB">
        <w:rPr>
          <w:rFonts w:ascii="Times New Roman" w:eastAsiaTheme="minorEastAsia" w:hAnsi="Times New Roman" w:cs="Times New Roman"/>
          <w:b/>
          <w:sz w:val="23"/>
          <w:szCs w:val="23"/>
        </w:rPr>
        <w:t xml:space="preserve"> </w:t>
      </w:r>
      <w:r w:rsidR="00A61CA4" w:rsidRPr="005204DB">
        <w:rPr>
          <w:rFonts w:ascii="Times New Roman" w:eastAsiaTheme="minorEastAsia" w:hAnsi="Times New Roman" w:cs="Times New Roman"/>
          <w:sz w:val="23"/>
          <w:szCs w:val="23"/>
        </w:rPr>
        <w:t>(AEFLA Section 223)</w:t>
      </w:r>
    </w:p>
    <w:p w:rsidR="001C2039" w:rsidRPr="005204DB" w:rsidRDefault="00FD62B8" w:rsidP="000B6FB9">
      <w:pPr>
        <w:numPr>
          <w:ilvl w:val="0"/>
          <w:numId w:val="2"/>
        </w:numPr>
        <w:spacing w:after="0" w:line="240" w:lineRule="auto"/>
        <w:ind w:left="360"/>
        <w:contextualSpacing/>
        <w:rPr>
          <w:rFonts w:ascii="Times New Roman" w:eastAsiaTheme="minorEastAsia" w:hAnsi="Times New Roman" w:cs="Times New Roman"/>
          <w:b/>
          <w:i/>
          <w:color w:val="000000" w:themeColor="text1"/>
          <w:sz w:val="23"/>
          <w:szCs w:val="23"/>
        </w:rPr>
      </w:pPr>
      <w:r w:rsidRPr="005204DB">
        <w:rPr>
          <w:rFonts w:ascii="Times New Roman" w:eastAsiaTheme="minorEastAsia" w:hAnsi="Times New Roman" w:cs="Times New Roman"/>
          <w:b/>
          <w:i/>
          <w:color w:val="000000" w:themeColor="text1"/>
          <w:sz w:val="23"/>
          <w:szCs w:val="23"/>
        </w:rPr>
        <w:t>Describe how the state has used funds made available under section 223 (State Leadership Activities) for each of the following required activities:</w:t>
      </w:r>
    </w:p>
    <w:p w:rsidR="00A5395D" w:rsidRPr="005204DB" w:rsidRDefault="00A5395D" w:rsidP="000B6FB9">
      <w:pPr>
        <w:pStyle w:val="ListParagraph"/>
        <w:numPr>
          <w:ilvl w:val="0"/>
          <w:numId w:val="12"/>
        </w:numPr>
        <w:spacing w:after="0" w:line="240" w:lineRule="auto"/>
        <w:rPr>
          <w:rFonts w:ascii="Times New Roman" w:eastAsiaTheme="minorEastAsia" w:hAnsi="Times New Roman" w:cs="Times New Roman"/>
          <w:i/>
          <w:color w:val="000000" w:themeColor="text1"/>
          <w:sz w:val="23"/>
          <w:szCs w:val="23"/>
        </w:rPr>
      </w:pPr>
      <w:r w:rsidRPr="005204DB">
        <w:rPr>
          <w:rFonts w:ascii="Times New Roman" w:eastAsiaTheme="minorEastAsia" w:hAnsi="Times New Roman" w:cs="Times New Roman"/>
          <w:i/>
          <w:color w:val="000000" w:themeColor="text1"/>
          <w:sz w:val="23"/>
          <w:szCs w:val="23"/>
        </w:rPr>
        <w:t>Alignment of adult education and literacy activities with other one-stop required partners to implement the strategies in the Unified or Combined State Plan as described in section 223(1)(a).</w:t>
      </w:r>
    </w:p>
    <w:p w:rsidR="00FD62B8" w:rsidRPr="005204DB" w:rsidRDefault="00FD62B8" w:rsidP="000B6FB9">
      <w:pPr>
        <w:autoSpaceDE w:val="0"/>
        <w:autoSpaceDN w:val="0"/>
        <w:adjustRightInd w:val="0"/>
        <w:spacing w:after="0" w:line="240" w:lineRule="auto"/>
        <w:rPr>
          <w:rFonts w:ascii="Times New Roman" w:eastAsiaTheme="minorEastAsia" w:hAnsi="Times New Roman" w:cs="Times New Roman"/>
          <w:color w:val="000000"/>
          <w:sz w:val="23"/>
          <w:szCs w:val="23"/>
        </w:rPr>
      </w:pPr>
      <w:r w:rsidRPr="005204DB">
        <w:rPr>
          <w:rFonts w:ascii="Times New Roman" w:eastAsiaTheme="minorEastAsia" w:hAnsi="Times New Roman" w:cs="Times New Roman"/>
          <w:color w:val="000000"/>
          <w:sz w:val="23"/>
          <w:szCs w:val="23"/>
        </w:rPr>
        <w:t>Missouri</w:t>
      </w:r>
      <w:r w:rsidR="002A69B7" w:rsidRPr="005204DB">
        <w:rPr>
          <w:rFonts w:ascii="Times New Roman" w:eastAsiaTheme="minorEastAsia" w:hAnsi="Times New Roman" w:cs="Times New Roman"/>
          <w:color w:val="000000"/>
          <w:sz w:val="23"/>
          <w:szCs w:val="23"/>
        </w:rPr>
        <w:t xml:space="preserve">’s Department of Elementary and Secondary Education (DESE) Adult Education and Literacy (AEL) </w:t>
      </w:r>
      <w:r w:rsidR="00C23883">
        <w:rPr>
          <w:rFonts w:ascii="Times New Roman" w:eastAsiaTheme="minorEastAsia" w:hAnsi="Times New Roman" w:cs="Times New Roman"/>
          <w:color w:val="000000"/>
          <w:sz w:val="23"/>
          <w:szCs w:val="23"/>
        </w:rPr>
        <w:t>section</w:t>
      </w:r>
      <w:r w:rsidRPr="005204DB">
        <w:rPr>
          <w:rFonts w:ascii="Times New Roman" w:eastAsiaTheme="minorEastAsia" w:hAnsi="Times New Roman" w:cs="Times New Roman"/>
          <w:color w:val="000000"/>
          <w:sz w:val="23"/>
          <w:szCs w:val="23"/>
        </w:rPr>
        <w:t xml:space="preserve"> works collaboratively with other core programs and partner agencies to align and coordinate ser</w:t>
      </w:r>
      <w:r w:rsidR="00BB7F53" w:rsidRPr="005204DB">
        <w:rPr>
          <w:rFonts w:ascii="Times New Roman" w:eastAsiaTheme="minorEastAsia" w:hAnsi="Times New Roman" w:cs="Times New Roman"/>
          <w:color w:val="000000"/>
          <w:sz w:val="23"/>
          <w:szCs w:val="23"/>
        </w:rPr>
        <w:t xml:space="preserve">vices for program participants. </w:t>
      </w:r>
      <w:r w:rsidRPr="005204DB">
        <w:rPr>
          <w:rFonts w:ascii="Times New Roman" w:eastAsiaTheme="minorEastAsia" w:hAnsi="Times New Roman" w:cs="Times New Roman"/>
          <w:color w:val="000000"/>
          <w:sz w:val="23"/>
          <w:szCs w:val="23"/>
        </w:rPr>
        <w:t>Training at the state</w:t>
      </w:r>
      <w:r w:rsidR="002766FB" w:rsidRPr="005204DB">
        <w:rPr>
          <w:rFonts w:ascii="Times New Roman" w:eastAsiaTheme="minorEastAsia" w:hAnsi="Times New Roman" w:cs="Times New Roman"/>
          <w:color w:val="000000"/>
          <w:sz w:val="23"/>
          <w:szCs w:val="23"/>
        </w:rPr>
        <w:t xml:space="preserve"> and local</w:t>
      </w:r>
      <w:r w:rsidRPr="005204DB">
        <w:rPr>
          <w:rFonts w:ascii="Times New Roman" w:eastAsiaTheme="minorEastAsia" w:hAnsi="Times New Roman" w:cs="Times New Roman"/>
          <w:color w:val="000000"/>
          <w:sz w:val="23"/>
          <w:szCs w:val="23"/>
        </w:rPr>
        <w:t xml:space="preserve"> level</w:t>
      </w:r>
      <w:r w:rsidR="00BB7F53" w:rsidRPr="005204DB">
        <w:rPr>
          <w:rFonts w:ascii="Times New Roman" w:eastAsiaTheme="minorEastAsia" w:hAnsi="Times New Roman" w:cs="Times New Roman"/>
          <w:color w:val="000000"/>
          <w:sz w:val="23"/>
          <w:szCs w:val="23"/>
        </w:rPr>
        <w:t>s will continue to take place</w:t>
      </w:r>
      <w:r w:rsidRPr="005204DB">
        <w:rPr>
          <w:rFonts w:ascii="Times New Roman" w:eastAsiaTheme="minorEastAsia" w:hAnsi="Times New Roman" w:cs="Times New Roman"/>
          <w:color w:val="000000"/>
          <w:sz w:val="23"/>
          <w:szCs w:val="23"/>
        </w:rPr>
        <w:t xml:space="preserve"> cross-train</w:t>
      </w:r>
      <w:r w:rsidR="00BB7F53" w:rsidRPr="005204DB">
        <w:rPr>
          <w:rFonts w:ascii="Times New Roman" w:eastAsiaTheme="minorEastAsia" w:hAnsi="Times New Roman" w:cs="Times New Roman"/>
          <w:color w:val="000000"/>
          <w:sz w:val="23"/>
          <w:szCs w:val="23"/>
        </w:rPr>
        <w:t>ing</w:t>
      </w:r>
      <w:r w:rsidRPr="005204DB">
        <w:rPr>
          <w:rFonts w:ascii="Times New Roman" w:eastAsiaTheme="minorEastAsia" w:hAnsi="Times New Roman" w:cs="Times New Roman"/>
          <w:color w:val="000000"/>
          <w:sz w:val="23"/>
          <w:szCs w:val="23"/>
        </w:rPr>
        <w:t xml:space="preserve"> </w:t>
      </w:r>
      <w:r w:rsidR="006E217D" w:rsidRPr="005204DB">
        <w:rPr>
          <w:rFonts w:ascii="Times New Roman" w:eastAsiaTheme="minorEastAsia" w:hAnsi="Times New Roman" w:cs="Times New Roman"/>
          <w:color w:val="000000"/>
          <w:sz w:val="23"/>
          <w:szCs w:val="23"/>
        </w:rPr>
        <w:t>staff to</w:t>
      </w:r>
      <w:r w:rsidRPr="005204DB">
        <w:rPr>
          <w:rFonts w:ascii="Times New Roman" w:eastAsiaTheme="minorEastAsia" w:hAnsi="Times New Roman" w:cs="Times New Roman"/>
          <w:color w:val="000000"/>
          <w:sz w:val="23"/>
          <w:szCs w:val="23"/>
        </w:rPr>
        <w:t xml:space="preserve"> develop an understanding of intake/orientation,</w:t>
      </w:r>
      <w:r w:rsidR="008B778A" w:rsidRPr="005204DB">
        <w:rPr>
          <w:rFonts w:ascii="Times New Roman" w:eastAsiaTheme="minorEastAsia" w:hAnsi="Times New Roman" w:cs="Times New Roman"/>
          <w:color w:val="000000"/>
          <w:sz w:val="23"/>
          <w:szCs w:val="23"/>
        </w:rPr>
        <w:t xml:space="preserve"> barriers to employment,</w:t>
      </w:r>
      <w:r w:rsidRPr="005204DB">
        <w:rPr>
          <w:rFonts w:ascii="Times New Roman" w:eastAsiaTheme="minorEastAsia" w:hAnsi="Times New Roman" w:cs="Times New Roman"/>
          <w:color w:val="000000"/>
          <w:sz w:val="23"/>
          <w:szCs w:val="23"/>
        </w:rPr>
        <w:t xml:space="preserve"> eligibility scree</w:t>
      </w:r>
      <w:r w:rsidR="00BB7F53" w:rsidRPr="005204DB">
        <w:rPr>
          <w:rFonts w:ascii="Times New Roman" w:eastAsiaTheme="minorEastAsia" w:hAnsi="Times New Roman" w:cs="Times New Roman"/>
          <w:color w:val="000000"/>
          <w:sz w:val="23"/>
          <w:szCs w:val="23"/>
        </w:rPr>
        <w:t>ning, referral between partners</w:t>
      </w:r>
      <w:r w:rsidRPr="005204DB">
        <w:rPr>
          <w:rFonts w:ascii="Times New Roman" w:eastAsiaTheme="minorEastAsia" w:hAnsi="Times New Roman" w:cs="Times New Roman"/>
          <w:color w:val="000000"/>
          <w:sz w:val="23"/>
          <w:szCs w:val="23"/>
        </w:rPr>
        <w:t xml:space="preserve"> and program services and activities. In addition, the development of all components of career pathways will continue to be a priority with the focus on preparing students for careers in </w:t>
      </w:r>
      <w:r w:rsidR="002A69B7" w:rsidRPr="005204DB">
        <w:rPr>
          <w:rFonts w:ascii="Times New Roman" w:eastAsiaTheme="minorEastAsia" w:hAnsi="Times New Roman" w:cs="Times New Roman"/>
          <w:color w:val="000000"/>
          <w:sz w:val="23"/>
          <w:szCs w:val="23"/>
        </w:rPr>
        <w:t>occupations that are “in-demand”</w:t>
      </w:r>
      <w:r w:rsidR="002D500C">
        <w:rPr>
          <w:rFonts w:ascii="Times New Roman" w:eastAsiaTheme="minorEastAsia" w:hAnsi="Times New Roman" w:cs="Times New Roman"/>
          <w:color w:val="000000"/>
          <w:sz w:val="23"/>
          <w:szCs w:val="23"/>
        </w:rPr>
        <w:t>,</w:t>
      </w:r>
      <w:r w:rsidR="002A69B7" w:rsidRPr="005204DB">
        <w:rPr>
          <w:rFonts w:ascii="Times New Roman" w:eastAsiaTheme="minorEastAsia" w:hAnsi="Times New Roman" w:cs="Times New Roman"/>
          <w:color w:val="000000"/>
          <w:sz w:val="23"/>
          <w:szCs w:val="23"/>
        </w:rPr>
        <w:t xml:space="preserve"> </w:t>
      </w:r>
      <w:r w:rsidR="001B3516" w:rsidRPr="005204DB">
        <w:rPr>
          <w:rFonts w:ascii="Times New Roman" w:eastAsiaTheme="minorEastAsia" w:hAnsi="Times New Roman" w:cs="Times New Roman"/>
          <w:color w:val="000000"/>
          <w:sz w:val="23"/>
          <w:szCs w:val="23"/>
        </w:rPr>
        <w:t>using labor market information</w:t>
      </w:r>
      <w:r w:rsidR="002A69B7" w:rsidRPr="005204DB">
        <w:rPr>
          <w:rFonts w:ascii="Times New Roman" w:eastAsiaTheme="minorEastAsia" w:hAnsi="Times New Roman" w:cs="Times New Roman"/>
          <w:color w:val="000000"/>
          <w:sz w:val="23"/>
          <w:szCs w:val="23"/>
        </w:rPr>
        <w:t xml:space="preserve"> and sector strategies</w:t>
      </w:r>
      <w:r w:rsidR="001B3516" w:rsidRPr="005204DB">
        <w:rPr>
          <w:rFonts w:ascii="Times New Roman" w:eastAsiaTheme="minorEastAsia" w:hAnsi="Times New Roman" w:cs="Times New Roman"/>
          <w:color w:val="000000"/>
          <w:sz w:val="23"/>
          <w:szCs w:val="23"/>
        </w:rPr>
        <w:t xml:space="preserve"> from the Missouri Economic Research and Information Center (MERIC)</w:t>
      </w:r>
      <w:r w:rsidRPr="005204DB">
        <w:rPr>
          <w:rFonts w:ascii="Times New Roman" w:eastAsiaTheme="minorEastAsia" w:hAnsi="Times New Roman" w:cs="Times New Roman"/>
          <w:color w:val="000000"/>
          <w:sz w:val="23"/>
          <w:szCs w:val="23"/>
        </w:rPr>
        <w:t xml:space="preserve">. </w:t>
      </w:r>
    </w:p>
    <w:p w:rsidR="008B778A" w:rsidRPr="005204DB" w:rsidRDefault="008B778A" w:rsidP="000B6FB9">
      <w:pPr>
        <w:autoSpaceDE w:val="0"/>
        <w:autoSpaceDN w:val="0"/>
        <w:adjustRightInd w:val="0"/>
        <w:spacing w:after="0" w:line="240" w:lineRule="auto"/>
        <w:rPr>
          <w:rFonts w:ascii="Times New Roman" w:eastAsiaTheme="minorEastAsia" w:hAnsi="Times New Roman" w:cs="Times New Roman"/>
          <w:bCs/>
          <w:color w:val="000000"/>
          <w:sz w:val="23"/>
          <w:szCs w:val="23"/>
        </w:rPr>
      </w:pPr>
    </w:p>
    <w:p w:rsidR="008B778A" w:rsidRPr="005204DB" w:rsidRDefault="008E08D5" w:rsidP="000B6FB9">
      <w:pPr>
        <w:autoSpaceDE w:val="0"/>
        <w:autoSpaceDN w:val="0"/>
        <w:adjustRightInd w:val="0"/>
        <w:spacing w:after="0" w:line="240" w:lineRule="auto"/>
        <w:rPr>
          <w:rFonts w:ascii="Times New Roman" w:eastAsiaTheme="minorEastAsia" w:hAnsi="Times New Roman" w:cs="Times New Roman"/>
          <w:bCs/>
          <w:color w:val="000000"/>
          <w:sz w:val="23"/>
          <w:szCs w:val="23"/>
        </w:rPr>
      </w:pPr>
      <w:r w:rsidRPr="005204DB">
        <w:rPr>
          <w:rFonts w:ascii="Times New Roman" w:eastAsiaTheme="minorEastAsia" w:hAnsi="Times New Roman" w:cs="Times New Roman"/>
          <w:bCs/>
          <w:color w:val="000000"/>
          <w:sz w:val="23"/>
          <w:szCs w:val="23"/>
        </w:rPr>
        <w:t>State Leadership Funds</w:t>
      </w:r>
      <w:r w:rsidR="008B778A" w:rsidRPr="005204DB">
        <w:rPr>
          <w:rFonts w:ascii="Times New Roman" w:eastAsiaTheme="minorEastAsia" w:hAnsi="Times New Roman" w:cs="Times New Roman"/>
          <w:bCs/>
          <w:color w:val="000000"/>
          <w:sz w:val="23"/>
          <w:szCs w:val="23"/>
        </w:rPr>
        <w:t xml:space="preserve"> also support representation b</w:t>
      </w:r>
      <w:r w:rsidR="00BB7F53" w:rsidRPr="005204DB">
        <w:rPr>
          <w:rFonts w:ascii="Times New Roman" w:eastAsiaTheme="minorEastAsia" w:hAnsi="Times New Roman" w:cs="Times New Roman"/>
          <w:bCs/>
          <w:color w:val="000000"/>
          <w:sz w:val="23"/>
          <w:szCs w:val="23"/>
        </w:rPr>
        <w:t xml:space="preserve">y </w:t>
      </w:r>
      <w:r w:rsidR="00546394" w:rsidRPr="005204DB">
        <w:rPr>
          <w:rFonts w:ascii="Times New Roman" w:eastAsiaTheme="minorEastAsia" w:hAnsi="Times New Roman" w:cs="Times New Roman"/>
          <w:bCs/>
          <w:color w:val="000000"/>
          <w:sz w:val="23"/>
          <w:szCs w:val="23"/>
        </w:rPr>
        <w:t>DESE</w:t>
      </w:r>
      <w:r w:rsidR="00BB7F53" w:rsidRPr="005204DB">
        <w:rPr>
          <w:rFonts w:ascii="Times New Roman" w:eastAsiaTheme="minorEastAsia" w:hAnsi="Times New Roman" w:cs="Times New Roman"/>
          <w:bCs/>
          <w:color w:val="000000"/>
          <w:sz w:val="23"/>
          <w:szCs w:val="23"/>
        </w:rPr>
        <w:t xml:space="preserve"> AEL staff on teams that include membership </w:t>
      </w:r>
      <w:r w:rsidR="008B778A" w:rsidRPr="005204DB">
        <w:rPr>
          <w:rFonts w:ascii="Times New Roman" w:eastAsiaTheme="minorEastAsia" w:hAnsi="Times New Roman" w:cs="Times New Roman"/>
          <w:bCs/>
          <w:color w:val="000000"/>
          <w:sz w:val="23"/>
          <w:szCs w:val="23"/>
        </w:rPr>
        <w:t>by all W</w:t>
      </w:r>
      <w:r w:rsidR="002A69B7" w:rsidRPr="005204DB">
        <w:rPr>
          <w:rFonts w:ascii="Times New Roman" w:eastAsiaTheme="minorEastAsia" w:hAnsi="Times New Roman" w:cs="Times New Roman"/>
          <w:bCs/>
          <w:color w:val="000000"/>
          <w:sz w:val="23"/>
          <w:szCs w:val="23"/>
        </w:rPr>
        <w:t xml:space="preserve">orkforce </w:t>
      </w:r>
      <w:r w:rsidR="008B778A" w:rsidRPr="005204DB">
        <w:rPr>
          <w:rFonts w:ascii="Times New Roman" w:eastAsiaTheme="minorEastAsia" w:hAnsi="Times New Roman" w:cs="Times New Roman"/>
          <w:bCs/>
          <w:color w:val="000000"/>
          <w:sz w:val="23"/>
          <w:szCs w:val="23"/>
        </w:rPr>
        <w:t>I</w:t>
      </w:r>
      <w:r w:rsidR="002A69B7" w:rsidRPr="005204DB">
        <w:rPr>
          <w:rFonts w:ascii="Times New Roman" w:eastAsiaTheme="minorEastAsia" w:hAnsi="Times New Roman" w:cs="Times New Roman"/>
          <w:bCs/>
          <w:color w:val="000000"/>
          <w:sz w:val="23"/>
          <w:szCs w:val="23"/>
        </w:rPr>
        <w:t xml:space="preserve">nnovation and </w:t>
      </w:r>
      <w:r w:rsidR="008B778A" w:rsidRPr="005204DB">
        <w:rPr>
          <w:rFonts w:ascii="Times New Roman" w:eastAsiaTheme="minorEastAsia" w:hAnsi="Times New Roman" w:cs="Times New Roman"/>
          <w:bCs/>
          <w:color w:val="000000"/>
          <w:sz w:val="23"/>
          <w:szCs w:val="23"/>
        </w:rPr>
        <w:t>O</w:t>
      </w:r>
      <w:r w:rsidR="002A69B7" w:rsidRPr="005204DB">
        <w:rPr>
          <w:rFonts w:ascii="Times New Roman" w:eastAsiaTheme="minorEastAsia" w:hAnsi="Times New Roman" w:cs="Times New Roman"/>
          <w:bCs/>
          <w:color w:val="000000"/>
          <w:sz w:val="23"/>
          <w:szCs w:val="23"/>
        </w:rPr>
        <w:t xml:space="preserve">pportunity </w:t>
      </w:r>
      <w:r w:rsidR="008B778A" w:rsidRPr="005204DB">
        <w:rPr>
          <w:rFonts w:ascii="Times New Roman" w:eastAsiaTheme="minorEastAsia" w:hAnsi="Times New Roman" w:cs="Times New Roman"/>
          <w:bCs/>
          <w:color w:val="000000"/>
          <w:sz w:val="23"/>
          <w:szCs w:val="23"/>
        </w:rPr>
        <w:t>A</w:t>
      </w:r>
      <w:r w:rsidR="002A69B7" w:rsidRPr="005204DB">
        <w:rPr>
          <w:rFonts w:ascii="Times New Roman" w:eastAsiaTheme="minorEastAsia" w:hAnsi="Times New Roman" w:cs="Times New Roman"/>
          <w:bCs/>
          <w:color w:val="000000"/>
          <w:sz w:val="23"/>
          <w:szCs w:val="23"/>
        </w:rPr>
        <w:t>ct (WIOA)</w:t>
      </w:r>
      <w:r w:rsidR="008B778A" w:rsidRPr="005204DB">
        <w:rPr>
          <w:rFonts w:ascii="Times New Roman" w:eastAsiaTheme="minorEastAsia" w:hAnsi="Times New Roman" w:cs="Times New Roman"/>
          <w:bCs/>
          <w:color w:val="000000"/>
          <w:sz w:val="23"/>
          <w:szCs w:val="23"/>
        </w:rPr>
        <w:t xml:space="preserve"> partners</w:t>
      </w:r>
      <w:r w:rsidR="009E37B0" w:rsidRPr="005204DB">
        <w:rPr>
          <w:rFonts w:ascii="Times New Roman" w:eastAsiaTheme="minorEastAsia" w:hAnsi="Times New Roman" w:cs="Times New Roman"/>
          <w:bCs/>
          <w:color w:val="000000"/>
          <w:sz w:val="23"/>
          <w:szCs w:val="23"/>
        </w:rPr>
        <w:t xml:space="preserve"> as described in th</w:t>
      </w:r>
      <w:r w:rsidR="00BB7F53" w:rsidRPr="005204DB">
        <w:rPr>
          <w:rFonts w:ascii="Times New Roman" w:eastAsiaTheme="minorEastAsia" w:hAnsi="Times New Roman" w:cs="Times New Roman"/>
          <w:bCs/>
          <w:color w:val="000000"/>
          <w:sz w:val="23"/>
          <w:szCs w:val="23"/>
        </w:rPr>
        <w:t>e Missouri Combined</w:t>
      </w:r>
      <w:r w:rsidR="00546394" w:rsidRPr="005204DB">
        <w:rPr>
          <w:rFonts w:ascii="Times New Roman" w:eastAsiaTheme="minorEastAsia" w:hAnsi="Times New Roman" w:cs="Times New Roman"/>
          <w:bCs/>
          <w:color w:val="000000"/>
          <w:sz w:val="23"/>
          <w:szCs w:val="23"/>
        </w:rPr>
        <w:t xml:space="preserve"> WIOA</w:t>
      </w:r>
      <w:r w:rsidR="00BB7F53" w:rsidRPr="005204DB">
        <w:rPr>
          <w:rFonts w:ascii="Times New Roman" w:eastAsiaTheme="minorEastAsia" w:hAnsi="Times New Roman" w:cs="Times New Roman"/>
          <w:bCs/>
          <w:color w:val="000000"/>
          <w:sz w:val="23"/>
          <w:szCs w:val="23"/>
        </w:rPr>
        <w:t xml:space="preserve"> State Plan. </w:t>
      </w:r>
      <w:r w:rsidR="009E37B0" w:rsidRPr="005204DB">
        <w:rPr>
          <w:rFonts w:ascii="Times New Roman" w:eastAsiaTheme="minorEastAsia" w:hAnsi="Times New Roman" w:cs="Times New Roman"/>
          <w:bCs/>
          <w:color w:val="000000"/>
          <w:sz w:val="23"/>
          <w:szCs w:val="23"/>
        </w:rPr>
        <w:t>The WIOA S</w:t>
      </w:r>
      <w:r w:rsidR="008B778A" w:rsidRPr="005204DB">
        <w:rPr>
          <w:rFonts w:ascii="Times New Roman" w:eastAsiaTheme="minorEastAsia" w:hAnsi="Times New Roman" w:cs="Times New Roman"/>
          <w:bCs/>
          <w:color w:val="000000"/>
          <w:sz w:val="23"/>
          <w:szCs w:val="23"/>
        </w:rPr>
        <w:t xml:space="preserve">teering </w:t>
      </w:r>
      <w:r w:rsidR="009E37B0" w:rsidRPr="005204DB">
        <w:rPr>
          <w:rFonts w:ascii="Times New Roman" w:eastAsiaTheme="minorEastAsia" w:hAnsi="Times New Roman" w:cs="Times New Roman"/>
          <w:bCs/>
          <w:color w:val="000000"/>
          <w:sz w:val="23"/>
          <w:szCs w:val="23"/>
        </w:rPr>
        <w:t>Team</w:t>
      </w:r>
      <w:r w:rsidR="00546394" w:rsidRPr="005204DB">
        <w:rPr>
          <w:rFonts w:ascii="Times New Roman" w:eastAsiaTheme="minorEastAsia" w:hAnsi="Times New Roman" w:cs="Times New Roman"/>
          <w:bCs/>
          <w:color w:val="000000"/>
          <w:sz w:val="23"/>
          <w:szCs w:val="23"/>
        </w:rPr>
        <w:t xml:space="preserve"> </w:t>
      </w:r>
      <w:r w:rsidR="008B778A" w:rsidRPr="005204DB">
        <w:rPr>
          <w:rFonts w:ascii="Times New Roman" w:eastAsiaTheme="minorEastAsia" w:hAnsi="Times New Roman" w:cs="Times New Roman"/>
          <w:bCs/>
          <w:color w:val="000000"/>
          <w:sz w:val="23"/>
          <w:szCs w:val="23"/>
        </w:rPr>
        <w:t>collaborated on</w:t>
      </w:r>
      <w:r w:rsidR="009E37B0" w:rsidRPr="005204DB">
        <w:rPr>
          <w:rFonts w:ascii="Times New Roman" w:eastAsiaTheme="minorEastAsia" w:hAnsi="Times New Roman" w:cs="Times New Roman"/>
          <w:bCs/>
          <w:color w:val="000000"/>
          <w:sz w:val="23"/>
          <w:szCs w:val="23"/>
        </w:rPr>
        <w:t xml:space="preserve"> a resource guide</w:t>
      </w:r>
      <w:r w:rsidR="008B778A" w:rsidRPr="005204DB">
        <w:rPr>
          <w:rFonts w:ascii="Times New Roman" w:eastAsiaTheme="minorEastAsia" w:hAnsi="Times New Roman" w:cs="Times New Roman"/>
          <w:bCs/>
          <w:color w:val="000000"/>
          <w:sz w:val="23"/>
          <w:szCs w:val="23"/>
        </w:rPr>
        <w:t xml:space="preserve"> for all citizens with information on services</w:t>
      </w:r>
      <w:r w:rsidR="009E37B0" w:rsidRPr="005204DB">
        <w:rPr>
          <w:rFonts w:ascii="Times New Roman" w:eastAsiaTheme="minorEastAsia" w:hAnsi="Times New Roman" w:cs="Times New Roman"/>
          <w:bCs/>
          <w:color w:val="000000"/>
          <w:sz w:val="23"/>
          <w:szCs w:val="23"/>
        </w:rPr>
        <w:t xml:space="preserve"> provided by</w:t>
      </w:r>
      <w:r w:rsidR="008B778A" w:rsidRPr="005204DB">
        <w:rPr>
          <w:rFonts w:ascii="Times New Roman" w:eastAsiaTheme="minorEastAsia" w:hAnsi="Times New Roman" w:cs="Times New Roman"/>
          <w:bCs/>
          <w:color w:val="000000"/>
          <w:sz w:val="23"/>
          <w:szCs w:val="23"/>
        </w:rPr>
        <w:t xml:space="preserve"> partners.</w:t>
      </w:r>
      <w:r w:rsidR="00E3130C" w:rsidRPr="005204DB">
        <w:rPr>
          <w:rFonts w:ascii="Times New Roman" w:eastAsiaTheme="minorEastAsia" w:hAnsi="Times New Roman" w:cs="Times New Roman"/>
          <w:bCs/>
          <w:color w:val="000000"/>
          <w:sz w:val="23"/>
          <w:szCs w:val="23"/>
        </w:rPr>
        <w:t xml:space="preserve"> Another focus of the team is addressing requirements of the State Plan and developing an electronic referral system for all partners to use.</w:t>
      </w:r>
      <w:r w:rsidR="008B778A" w:rsidRPr="005204DB">
        <w:rPr>
          <w:rFonts w:ascii="Times New Roman" w:eastAsiaTheme="minorEastAsia" w:hAnsi="Times New Roman" w:cs="Times New Roman"/>
          <w:bCs/>
          <w:color w:val="000000"/>
          <w:sz w:val="23"/>
          <w:szCs w:val="23"/>
        </w:rPr>
        <w:t xml:space="preserve"> AEL staff participate in sub-committees including Employer Engagement, Technology &amp; Outcomes and Service Design and Delivery to align assistance to participants a</w:t>
      </w:r>
      <w:r w:rsidR="00BB7F53" w:rsidRPr="005204DB">
        <w:rPr>
          <w:rFonts w:ascii="Times New Roman" w:eastAsiaTheme="minorEastAsia" w:hAnsi="Times New Roman" w:cs="Times New Roman"/>
          <w:bCs/>
          <w:color w:val="000000"/>
          <w:sz w:val="23"/>
          <w:szCs w:val="23"/>
        </w:rPr>
        <w:t xml:space="preserve">s well as performance outcomes and reporting. </w:t>
      </w:r>
      <w:r w:rsidR="008B778A" w:rsidRPr="005204DB">
        <w:rPr>
          <w:rFonts w:ascii="Times New Roman" w:eastAsiaTheme="minorEastAsia" w:hAnsi="Times New Roman" w:cs="Times New Roman"/>
          <w:bCs/>
          <w:color w:val="000000"/>
          <w:sz w:val="23"/>
          <w:szCs w:val="23"/>
        </w:rPr>
        <w:t>In addition, there are ongoing conversations with Local Workforce Development Boards</w:t>
      </w:r>
      <w:r w:rsidR="009F5B8D" w:rsidRPr="005204DB">
        <w:rPr>
          <w:rFonts w:ascii="Times New Roman" w:eastAsiaTheme="minorEastAsia" w:hAnsi="Times New Roman" w:cs="Times New Roman"/>
          <w:bCs/>
          <w:color w:val="000000"/>
          <w:sz w:val="23"/>
          <w:szCs w:val="23"/>
        </w:rPr>
        <w:t xml:space="preserve"> (LWDBs)</w:t>
      </w:r>
      <w:r w:rsidR="008B778A" w:rsidRPr="005204DB">
        <w:rPr>
          <w:rFonts w:ascii="Times New Roman" w:eastAsiaTheme="minorEastAsia" w:hAnsi="Times New Roman" w:cs="Times New Roman"/>
          <w:bCs/>
          <w:color w:val="000000"/>
          <w:sz w:val="23"/>
          <w:szCs w:val="23"/>
        </w:rPr>
        <w:t xml:space="preserve"> on expanding referrals and Integrated Education and Training (IET) programs.</w:t>
      </w:r>
    </w:p>
    <w:p w:rsidR="00A61CA4" w:rsidRPr="005204DB" w:rsidRDefault="00A61CA4" w:rsidP="000B6FB9">
      <w:pPr>
        <w:autoSpaceDE w:val="0"/>
        <w:autoSpaceDN w:val="0"/>
        <w:adjustRightInd w:val="0"/>
        <w:spacing w:after="0" w:line="240" w:lineRule="auto"/>
        <w:rPr>
          <w:rFonts w:ascii="Times New Roman" w:eastAsiaTheme="minorEastAsia" w:hAnsi="Times New Roman" w:cs="Times New Roman"/>
          <w:bCs/>
          <w:color w:val="000000"/>
          <w:sz w:val="23"/>
          <w:szCs w:val="23"/>
          <w:highlight w:val="yellow"/>
        </w:rPr>
      </w:pPr>
    </w:p>
    <w:p w:rsidR="00A5395D" w:rsidRPr="005204DB" w:rsidRDefault="00A5395D" w:rsidP="000B6FB9">
      <w:pPr>
        <w:pStyle w:val="ListParagraph"/>
        <w:numPr>
          <w:ilvl w:val="0"/>
          <w:numId w:val="12"/>
        </w:numPr>
        <w:spacing w:after="0" w:line="240" w:lineRule="auto"/>
        <w:rPr>
          <w:rFonts w:ascii="Times New Roman" w:eastAsiaTheme="minorEastAsia" w:hAnsi="Times New Roman" w:cs="Times New Roman"/>
          <w:i/>
          <w:color w:val="000000" w:themeColor="text1"/>
          <w:sz w:val="23"/>
          <w:szCs w:val="23"/>
        </w:rPr>
      </w:pPr>
      <w:r w:rsidRPr="005204DB">
        <w:rPr>
          <w:rFonts w:ascii="Times New Roman" w:eastAsiaTheme="minorEastAsia" w:hAnsi="Times New Roman" w:cs="Times New Roman"/>
          <w:i/>
          <w:color w:val="000000" w:themeColor="text1"/>
          <w:sz w:val="23"/>
          <w:szCs w:val="23"/>
        </w:rPr>
        <w:t>Establishment or operation of a high quality professional development program as described in section 223(1)(b).</w:t>
      </w:r>
    </w:p>
    <w:p w:rsidR="000F4996" w:rsidRPr="005204DB" w:rsidRDefault="000F4996" w:rsidP="000B6FB9">
      <w:pPr>
        <w:spacing w:after="0" w:line="240" w:lineRule="auto"/>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The</w:t>
      </w:r>
      <w:r w:rsidR="00823EDB" w:rsidRPr="005204DB">
        <w:rPr>
          <w:rFonts w:ascii="Times New Roman" w:eastAsiaTheme="minorEastAsia" w:hAnsi="Times New Roman" w:cs="Times New Roman"/>
          <w:sz w:val="23"/>
          <w:szCs w:val="23"/>
        </w:rPr>
        <w:t xml:space="preserve"> DESE</w:t>
      </w:r>
      <w:r w:rsidRPr="005204DB">
        <w:rPr>
          <w:rFonts w:ascii="Times New Roman" w:eastAsiaTheme="minorEastAsia" w:hAnsi="Times New Roman" w:cs="Times New Roman"/>
          <w:sz w:val="23"/>
          <w:szCs w:val="23"/>
        </w:rPr>
        <w:t xml:space="preserve"> AEL</w:t>
      </w:r>
      <w:r w:rsidR="00C23883">
        <w:rPr>
          <w:rFonts w:ascii="Times New Roman" w:eastAsiaTheme="minorEastAsia" w:hAnsi="Times New Roman" w:cs="Times New Roman"/>
          <w:sz w:val="23"/>
          <w:szCs w:val="23"/>
        </w:rPr>
        <w:t xml:space="preserve"> section</w:t>
      </w:r>
      <w:r w:rsidRPr="005204DB">
        <w:rPr>
          <w:rFonts w:ascii="Times New Roman" w:eastAsiaTheme="minorEastAsia" w:hAnsi="Times New Roman" w:cs="Times New Roman"/>
          <w:sz w:val="23"/>
          <w:szCs w:val="23"/>
        </w:rPr>
        <w:t xml:space="preserve"> used </w:t>
      </w:r>
      <w:r w:rsidR="008E08D5" w:rsidRPr="005204DB">
        <w:rPr>
          <w:rFonts w:ascii="Times New Roman" w:eastAsiaTheme="minorEastAsia" w:hAnsi="Times New Roman" w:cs="Times New Roman"/>
          <w:sz w:val="23"/>
          <w:szCs w:val="23"/>
        </w:rPr>
        <w:t>State Leadership Funds</w:t>
      </w:r>
      <w:r w:rsidRPr="005204DB">
        <w:rPr>
          <w:rFonts w:ascii="Times New Roman" w:eastAsiaTheme="minorEastAsia" w:hAnsi="Times New Roman" w:cs="Times New Roman"/>
          <w:sz w:val="23"/>
          <w:szCs w:val="23"/>
        </w:rPr>
        <w:t xml:space="preserve"> to provide high quality professional development necessary to improve educational and/or career outcomes for the adult student population. Missouri requires that every teacher providing instruction to AEL students is certified as an AEL t</w:t>
      </w:r>
      <w:r w:rsidR="00BB7F53" w:rsidRPr="005204DB">
        <w:rPr>
          <w:rFonts w:ascii="Times New Roman" w:eastAsiaTheme="minorEastAsia" w:hAnsi="Times New Roman" w:cs="Times New Roman"/>
          <w:sz w:val="23"/>
          <w:szCs w:val="23"/>
        </w:rPr>
        <w:t xml:space="preserve">eacher. </w:t>
      </w:r>
      <w:r w:rsidRPr="005204DB">
        <w:rPr>
          <w:rFonts w:ascii="Times New Roman" w:eastAsiaTheme="minorEastAsia" w:hAnsi="Times New Roman" w:cs="Times New Roman"/>
          <w:sz w:val="23"/>
          <w:szCs w:val="23"/>
        </w:rPr>
        <w:t>To maintain certification, Missouri’s teachers must participate in on</w:t>
      </w:r>
      <w:r w:rsidR="00BB7F53" w:rsidRPr="005204DB">
        <w:rPr>
          <w:rFonts w:ascii="Times New Roman" w:eastAsiaTheme="minorEastAsia" w:hAnsi="Times New Roman" w:cs="Times New Roman"/>
          <w:sz w:val="23"/>
          <w:szCs w:val="23"/>
        </w:rPr>
        <w:t xml:space="preserve">going professional development. </w:t>
      </w:r>
      <w:r w:rsidR="00823EDB" w:rsidRPr="005204DB">
        <w:rPr>
          <w:rFonts w:ascii="Times New Roman" w:eastAsiaTheme="minorEastAsia" w:hAnsi="Times New Roman" w:cs="Times New Roman"/>
          <w:sz w:val="23"/>
          <w:szCs w:val="23"/>
        </w:rPr>
        <w:t xml:space="preserve">DESE </w:t>
      </w:r>
      <w:r w:rsidRPr="005204DB">
        <w:rPr>
          <w:rFonts w:ascii="Times New Roman" w:eastAsiaTheme="minorEastAsia" w:hAnsi="Times New Roman" w:cs="Times New Roman"/>
          <w:sz w:val="23"/>
          <w:szCs w:val="23"/>
        </w:rPr>
        <w:t>AEL staff provided trainings and created new instructional workshops to help AEL teachers meet their profess</w:t>
      </w:r>
      <w:r w:rsidR="00BB7F53" w:rsidRPr="005204DB">
        <w:rPr>
          <w:rFonts w:ascii="Times New Roman" w:eastAsiaTheme="minorEastAsia" w:hAnsi="Times New Roman" w:cs="Times New Roman"/>
          <w:sz w:val="23"/>
          <w:szCs w:val="23"/>
        </w:rPr>
        <w:t xml:space="preserve">ional development requirements. </w:t>
      </w:r>
      <w:r w:rsidR="009E37B0" w:rsidRPr="005204DB">
        <w:rPr>
          <w:rFonts w:ascii="Times New Roman" w:eastAsiaTheme="minorEastAsia" w:hAnsi="Times New Roman" w:cs="Times New Roman"/>
          <w:sz w:val="23"/>
          <w:szCs w:val="23"/>
        </w:rPr>
        <w:t xml:space="preserve">There are </w:t>
      </w:r>
      <w:r w:rsidR="00BB7F53" w:rsidRPr="005204DB">
        <w:rPr>
          <w:rFonts w:ascii="Times New Roman" w:eastAsiaTheme="minorEastAsia" w:hAnsi="Times New Roman" w:cs="Times New Roman"/>
          <w:sz w:val="23"/>
          <w:szCs w:val="23"/>
        </w:rPr>
        <w:t xml:space="preserve">state </w:t>
      </w:r>
      <w:r w:rsidR="009E37B0" w:rsidRPr="005204DB">
        <w:rPr>
          <w:rFonts w:ascii="Times New Roman" w:eastAsiaTheme="minorEastAsia" w:hAnsi="Times New Roman" w:cs="Times New Roman"/>
          <w:sz w:val="23"/>
          <w:szCs w:val="23"/>
        </w:rPr>
        <w:t xml:space="preserve">restrictions on </w:t>
      </w:r>
      <w:r w:rsidR="00BB7F53" w:rsidRPr="005204DB">
        <w:rPr>
          <w:rFonts w:ascii="Times New Roman" w:eastAsiaTheme="minorEastAsia" w:hAnsi="Times New Roman" w:cs="Times New Roman"/>
          <w:sz w:val="23"/>
          <w:szCs w:val="23"/>
        </w:rPr>
        <w:t xml:space="preserve">virtual </w:t>
      </w:r>
      <w:r w:rsidR="009E37B0" w:rsidRPr="005204DB">
        <w:rPr>
          <w:rFonts w:ascii="Times New Roman" w:eastAsiaTheme="minorEastAsia" w:hAnsi="Times New Roman" w:cs="Times New Roman"/>
          <w:sz w:val="23"/>
          <w:szCs w:val="23"/>
        </w:rPr>
        <w:t>professional development that require a specific numb</w:t>
      </w:r>
      <w:r w:rsidR="00BB7F53" w:rsidRPr="005204DB">
        <w:rPr>
          <w:rFonts w:ascii="Times New Roman" w:eastAsiaTheme="minorEastAsia" w:hAnsi="Times New Roman" w:cs="Times New Roman"/>
          <w:sz w:val="23"/>
          <w:szCs w:val="23"/>
        </w:rPr>
        <w:t xml:space="preserve">er of in-person training hours. </w:t>
      </w:r>
      <w:r w:rsidR="009E37B0" w:rsidRPr="005204DB">
        <w:rPr>
          <w:rFonts w:ascii="Times New Roman" w:eastAsiaTheme="minorEastAsia" w:hAnsi="Times New Roman" w:cs="Times New Roman"/>
          <w:sz w:val="23"/>
          <w:szCs w:val="23"/>
        </w:rPr>
        <w:t>In FY</w:t>
      </w:r>
      <w:r w:rsidR="00276EAC" w:rsidRPr="005204DB">
        <w:rPr>
          <w:rFonts w:ascii="Times New Roman" w:eastAsiaTheme="minorEastAsia" w:hAnsi="Times New Roman" w:cs="Times New Roman"/>
          <w:sz w:val="23"/>
          <w:szCs w:val="23"/>
        </w:rPr>
        <w:t>20, due to the pandemic, those requirements were relaxed to allow for more virtual professional development so our teachers could continue to grow.</w:t>
      </w:r>
    </w:p>
    <w:p w:rsidR="00276EAC" w:rsidRPr="005204DB" w:rsidRDefault="00276EAC" w:rsidP="000B6FB9">
      <w:pPr>
        <w:spacing w:after="0" w:line="240" w:lineRule="auto"/>
        <w:rPr>
          <w:rFonts w:ascii="Times New Roman" w:eastAsiaTheme="minorEastAsia" w:hAnsi="Times New Roman" w:cs="Times New Roman"/>
          <w:sz w:val="23"/>
          <w:szCs w:val="23"/>
        </w:rPr>
      </w:pPr>
    </w:p>
    <w:p w:rsidR="00276EAC" w:rsidRPr="005204DB" w:rsidRDefault="00276EAC" w:rsidP="000B6FB9">
      <w:pPr>
        <w:spacing w:after="0" w:line="240" w:lineRule="auto"/>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Missouri has a statewide Adult Education Professional Devel</w:t>
      </w:r>
      <w:r w:rsidR="00BB7F53" w:rsidRPr="005204DB">
        <w:rPr>
          <w:rFonts w:ascii="Times New Roman" w:eastAsiaTheme="minorEastAsia" w:hAnsi="Times New Roman" w:cs="Times New Roman"/>
          <w:sz w:val="23"/>
          <w:szCs w:val="23"/>
        </w:rPr>
        <w:t xml:space="preserve">opment (PD) Advisory Committee which </w:t>
      </w:r>
      <w:r w:rsidRPr="005204DB">
        <w:rPr>
          <w:rFonts w:ascii="Times New Roman" w:eastAsiaTheme="minorEastAsia" w:hAnsi="Times New Roman" w:cs="Times New Roman"/>
          <w:sz w:val="23"/>
          <w:szCs w:val="23"/>
        </w:rPr>
        <w:t>consists of AEL program directors from each region of the state. The members of this committee determine the PD needs in their region by seeking input from all teachers and all local adult education di</w:t>
      </w:r>
      <w:r w:rsidR="00823EDB" w:rsidRPr="005204DB">
        <w:rPr>
          <w:rFonts w:ascii="Times New Roman" w:eastAsiaTheme="minorEastAsia" w:hAnsi="Times New Roman" w:cs="Times New Roman"/>
          <w:sz w:val="23"/>
          <w:szCs w:val="23"/>
        </w:rPr>
        <w:t>rectors. During their</w:t>
      </w:r>
      <w:r w:rsidR="00BB7F53" w:rsidRPr="005204DB">
        <w:rPr>
          <w:rFonts w:ascii="Times New Roman" w:eastAsiaTheme="minorEastAsia" w:hAnsi="Times New Roman" w:cs="Times New Roman"/>
          <w:sz w:val="23"/>
          <w:szCs w:val="23"/>
        </w:rPr>
        <w:t xml:space="preserve"> meetings</w:t>
      </w:r>
      <w:r w:rsidR="00823EDB" w:rsidRPr="005204DB">
        <w:rPr>
          <w:rFonts w:ascii="Times New Roman" w:eastAsiaTheme="minorEastAsia" w:hAnsi="Times New Roman" w:cs="Times New Roman"/>
          <w:sz w:val="23"/>
          <w:szCs w:val="23"/>
        </w:rPr>
        <w:t>,</w:t>
      </w:r>
      <w:r w:rsidR="00BB7F53" w:rsidRPr="005204DB">
        <w:rPr>
          <w:rFonts w:ascii="Times New Roman" w:eastAsiaTheme="minorEastAsia" w:hAnsi="Times New Roman" w:cs="Times New Roman"/>
          <w:sz w:val="23"/>
          <w:szCs w:val="23"/>
        </w:rPr>
        <w:t xml:space="preserve"> </w:t>
      </w:r>
      <w:r w:rsidRPr="005204DB">
        <w:rPr>
          <w:rFonts w:ascii="Times New Roman" w:eastAsiaTheme="minorEastAsia" w:hAnsi="Times New Roman" w:cs="Times New Roman"/>
          <w:sz w:val="23"/>
          <w:szCs w:val="23"/>
        </w:rPr>
        <w:t>the committee helps develop PD plans and resources, iden</w:t>
      </w:r>
      <w:r w:rsidR="00BB7F53" w:rsidRPr="005204DB">
        <w:rPr>
          <w:rFonts w:ascii="Times New Roman" w:eastAsiaTheme="minorEastAsia" w:hAnsi="Times New Roman" w:cs="Times New Roman"/>
          <w:sz w:val="23"/>
          <w:szCs w:val="23"/>
        </w:rPr>
        <w:t>tify future PD needs, identify and implement best practices in PD, coordinate PD activities</w:t>
      </w:r>
      <w:r w:rsidRPr="005204DB">
        <w:rPr>
          <w:rFonts w:ascii="Times New Roman" w:eastAsiaTheme="minorEastAsia" w:hAnsi="Times New Roman" w:cs="Times New Roman"/>
          <w:sz w:val="23"/>
          <w:szCs w:val="23"/>
        </w:rPr>
        <w:t xml:space="preserve"> and review PD workshops </w:t>
      </w:r>
      <w:r w:rsidR="00BB7F53" w:rsidRPr="005204DB">
        <w:rPr>
          <w:rFonts w:ascii="Times New Roman" w:eastAsiaTheme="minorEastAsia" w:hAnsi="Times New Roman" w:cs="Times New Roman"/>
          <w:sz w:val="23"/>
          <w:szCs w:val="23"/>
        </w:rPr>
        <w:t xml:space="preserve">under development </w:t>
      </w:r>
      <w:r w:rsidRPr="005204DB">
        <w:rPr>
          <w:rFonts w:ascii="Times New Roman" w:eastAsiaTheme="minorEastAsia" w:hAnsi="Times New Roman" w:cs="Times New Roman"/>
          <w:sz w:val="23"/>
          <w:szCs w:val="23"/>
        </w:rPr>
        <w:t xml:space="preserve">to ensure that they </w:t>
      </w:r>
      <w:r w:rsidR="00BB7F53" w:rsidRPr="005204DB">
        <w:rPr>
          <w:rFonts w:ascii="Times New Roman" w:eastAsiaTheme="minorEastAsia" w:hAnsi="Times New Roman" w:cs="Times New Roman"/>
          <w:sz w:val="23"/>
          <w:szCs w:val="23"/>
        </w:rPr>
        <w:t>meet</w:t>
      </w:r>
      <w:r w:rsidRPr="005204DB">
        <w:rPr>
          <w:rFonts w:ascii="Times New Roman" w:eastAsiaTheme="minorEastAsia" w:hAnsi="Times New Roman" w:cs="Times New Roman"/>
          <w:sz w:val="23"/>
          <w:szCs w:val="23"/>
        </w:rPr>
        <w:t xml:space="preserve"> the needs of our teachers</w:t>
      </w:r>
      <w:r w:rsidR="00823EDB" w:rsidRPr="005204DB">
        <w:rPr>
          <w:rFonts w:ascii="Times New Roman" w:eastAsiaTheme="minorEastAsia" w:hAnsi="Times New Roman" w:cs="Times New Roman"/>
          <w:sz w:val="23"/>
          <w:szCs w:val="23"/>
        </w:rPr>
        <w:t xml:space="preserve"> and students</w:t>
      </w:r>
      <w:r w:rsidRPr="005204DB">
        <w:rPr>
          <w:rFonts w:ascii="Times New Roman" w:eastAsiaTheme="minorEastAsia" w:hAnsi="Times New Roman" w:cs="Times New Roman"/>
          <w:sz w:val="23"/>
          <w:szCs w:val="23"/>
        </w:rPr>
        <w:t>. The Professional Development Advisory Committee meets</w:t>
      </w:r>
      <w:r w:rsidR="00BB7F53" w:rsidRPr="005204DB">
        <w:rPr>
          <w:rFonts w:ascii="Times New Roman" w:eastAsiaTheme="minorEastAsia" w:hAnsi="Times New Roman" w:cs="Times New Roman"/>
          <w:sz w:val="23"/>
          <w:szCs w:val="23"/>
        </w:rPr>
        <w:t xml:space="preserve"> as a group with </w:t>
      </w:r>
      <w:r w:rsidR="002A69B7" w:rsidRPr="005204DB">
        <w:rPr>
          <w:rFonts w:ascii="Times New Roman" w:eastAsiaTheme="minorEastAsia" w:hAnsi="Times New Roman" w:cs="Times New Roman"/>
          <w:sz w:val="23"/>
          <w:szCs w:val="23"/>
        </w:rPr>
        <w:t>DESE AEL</w:t>
      </w:r>
      <w:r w:rsidR="00BB7F53" w:rsidRPr="005204DB">
        <w:rPr>
          <w:rFonts w:ascii="Times New Roman" w:eastAsiaTheme="minorEastAsia" w:hAnsi="Times New Roman" w:cs="Times New Roman"/>
          <w:sz w:val="23"/>
          <w:szCs w:val="23"/>
        </w:rPr>
        <w:t xml:space="preserve"> staff</w:t>
      </w:r>
      <w:r w:rsidRPr="005204DB">
        <w:rPr>
          <w:rFonts w:ascii="Times New Roman" w:eastAsiaTheme="minorEastAsia" w:hAnsi="Times New Roman" w:cs="Times New Roman"/>
          <w:sz w:val="23"/>
          <w:szCs w:val="23"/>
        </w:rPr>
        <w:t xml:space="preserve"> as needed.  </w:t>
      </w:r>
    </w:p>
    <w:p w:rsidR="000F4996" w:rsidRPr="005204DB" w:rsidRDefault="000F4996" w:rsidP="000B6FB9">
      <w:pPr>
        <w:spacing w:after="0" w:line="240" w:lineRule="auto"/>
        <w:rPr>
          <w:rFonts w:ascii="Times New Roman" w:eastAsiaTheme="minorEastAsia" w:hAnsi="Times New Roman" w:cs="Times New Roman"/>
          <w:sz w:val="23"/>
          <w:szCs w:val="23"/>
        </w:rPr>
      </w:pPr>
    </w:p>
    <w:p w:rsidR="000F4996" w:rsidRPr="005204DB" w:rsidRDefault="000F4996" w:rsidP="000B6FB9">
      <w:pPr>
        <w:spacing w:after="0" w:line="240" w:lineRule="auto"/>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lastRenderedPageBreak/>
        <w:t>To ensure our AEL workshops deliver quality PD and meet the needs of the teachers</w:t>
      </w:r>
      <w:r w:rsidR="00823EDB" w:rsidRPr="005204DB">
        <w:rPr>
          <w:rFonts w:ascii="Times New Roman" w:eastAsiaTheme="minorEastAsia" w:hAnsi="Times New Roman" w:cs="Times New Roman"/>
          <w:sz w:val="23"/>
          <w:szCs w:val="23"/>
        </w:rPr>
        <w:t xml:space="preserve"> and students</w:t>
      </w:r>
      <w:r w:rsidRPr="005204DB">
        <w:rPr>
          <w:rFonts w:ascii="Times New Roman" w:eastAsiaTheme="minorEastAsia" w:hAnsi="Times New Roman" w:cs="Times New Roman"/>
          <w:sz w:val="23"/>
          <w:szCs w:val="23"/>
        </w:rPr>
        <w:t xml:space="preserve"> throughout the state, DESE uses an evaluation system. </w:t>
      </w:r>
      <w:r w:rsidR="00823EDB" w:rsidRPr="005204DB">
        <w:rPr>
          <w:rFonts w:ascii="Times New Roman" w:eastAsiaTheme="minorEastAsia" w:hAnsi="Times New Roman" w:cs="Times New Roman"/>
          <w:sz w:val="23"/>
          <w:szCs w:val="23"/>
        </w:rPr>
        <w:t>Upon conclusion of all PD workshops</w:t>
      </w:r>
      <w:r w:rsidRPr="005204DB">
        <w:rPr>
          <w:rFonts w:ascii="Times New Roman" w:eastAsiaTheme="minorEastAsia" w:hAnsi="Times New Roman" w:cs="Times New Roman"/>
          <w:sz w:val="23"/>
          <w:szCs w:val="23"/>
        </w:rPr>
        <w:t>, they are asked to co</w:t>
      </w:r>
      <w:r w:rsidR="00823EDB" w:rsidRPr="005204DB">
        <w:rPr>
          <w:rFonts w:ascii="Times New Roman" w:eastAsiaTheme="minorEastAsia" w:hAnsi="Times New Roman" w:cs="Times New Roman"/>
          <w:sz w:val="23"/>
          <w:szCs w:val="23"/>
        </w:rPr>
        <w:t>mplete a two-page</w:t>
      </w:r>
      <w:r w:rsidR="00BB7F53" w:rsidRPr="005204DB">
        <w:rPr>
          <w:rFonts w:ascii="Times New Roman" w:eastAsiaTheme="minorEastAsia" w:hAnsi="Times New Roman" w:cs="Times New Roman"/>
          <w:sz w:val="23"/>
          <w:szCs w:val="23"/>
        </w:rPr>
        <w:t xml:space="preserve"> evaluation</w:t>
      </w:r>
      <w:r w:rsidR="00823EDB" w:rsidRPr="005204DB">
        <w:rPr>
          <w:rFonts w:ascii="Times New Roman" w:eastAsiaTheme="minorEastAsia" w:hAnsi="Times New Roman" w:cs="Times New Roman"/>
          <w:sz w:val="23"/>
          <w:szCs w:val="23"/>
        </w:rPr>
        <w:t xml:space="preserve"> that is submitted</w:t>
      </w:r>
      <w:r w:rsidR="00C23883">
        <w:rPr>
          <w:rFonts w:ascii="Times New Roman" w:eastAsiaTheme="minorEastAsia" w:hAnsi="Times New Roman" w:cs="Times New Roman"/>
          <w:sz w:val="23"/>
          <w:szCs w:val="23"/>
        </w:rPr>
        <w:t xml:space="preserve"> to the</w:t>
      </w:r>
      <w:r w:rsidRPr="005204DB">
        <w:rPr>
          <w:rFonts w:ascii="Times New Roman" w:eastAsiaTheme="minorEastAsia" w:hAnsi="Times New Roman" w:cs="Times New Roman"/>
          <w:sz w:val="23"/>
          <w:szCs w:val="23"/>
        </w:rPr>
        <w:t xml:space="preserve"> AEL </w:t>
      </w:r>
      <w:r w:rsidR="00C23883">
        <w:rPr>
          <w:rFonts w:ascii="Times New Roman" w:eastAsiaTheme="minorEastAsia" w:hAnsi="Times New Roman" w:cs="Times New Roman"/>
          <w:sz w:val="23"/>
          <w:szCs w:val="23"/>
        </w:rPr>
        <w:t xml:space="preserve">section </w:t>
      </w:r>
      <w:r w:rsidR="00BB7F53" w:rsidRPr="005204DB">
        <w:rPr>
          <w:rFonts w:ascii="Times New Roman" w:eastAsiaTheme="minorEastAsia" w:hAnsi="Times New Roman" w:cs="Times New Roman"/>
          <w:sz w:val="23"/>
          <w:szCs w:val="23"/>
        </w:rPr>
        <w:t>where DESE staff read</w:t>
      </w:r>
      <w:r w:rsidRPr="005204DB">
        <w:rPr>
          <w:rFonts w:ascii="Times New Roman" w:eastAsiaTheme="minorEastAsia" w:hAnsi="Times New Roman" w:cs="Times New Roman"/>
          <w:sz w:val="23"/>
          <w:szCs w:val="23"/>
        </w:rPr>
        <w:t xml:space="preserve"> and</w:t>
      </w:r>
      <w:r w:rsidR="00BB7F53" w:rsidRPr="005204DB">
        <w:rPr>
          <w:rFonts w:ascii="Times New Roman" w:eastAsiaTheme="minorEastAsia" w:hAnsi="Times New Roman" w:cs="Times New Roman"/>
          <w:sz w:val="23"/>
          <w:szCs w:val="23"/>
        </w:rPr>
        <w:t xml:space="preserve"> record</w:t>
      </w:r>
      <w:r w:rsidRPr="005204DB">
        <w:rPr>
          <w:rFonts w:ascii="Times New Roman" w:eastAsiaTheme="minorEastAsia" w:hAnsi="Times New Roman" w:cs="Times New Roman"/>
          <w:sz w:val="23"/>
          <w:szCs w:val="23"/>
        </w:rPr>
        <w:t xml:space="preserve"> the responses.  If these evaluations indicate the workshop is not meeting the e</w:t>
      </w:r>
      <w:r w:rsidR="00BB7F53" w:rsidRPr="005204DB">
        <w:rPr>
          <w:rFonts w:ascii="Times New Roman" w:eastAsiaTheme="minorEastAsia" w:hAnsi="Times New Roman" w:cs="Times New Roman"/>
          <w:sz w:val="23"/>
          <w:szCs w:val="23"/>
        </w:rPr>
        <w:t>xpectations of the teachers, DESE AEL staff revise</w:t>
      </w:r>
      <w:r w:rsidRPr="005204DB">
        <w:rPr>
          <w:rFonts w:ascii="Times New Roman" w:eastAsiaTheme="minorEastAsia" w:hAnsi="Times New Roman" w:cs="Times New Roman"/>
          <w:sz w:val="23"/>
          <w:szCs w:val="23"/>
        </w:rPr>
        <w:t xml:space="preserve"> it as soon as possible. During </w:t>
      </w:r>
      <w:r w:rsidR="009E37B0" w:rsidRPr="005204DB">
        <w:rPr>
          <w:rFonts w:ascii="Times New Roman" w:eastAsiaTheme="minorEastAsia" w:hAnsi="Times New Roman" w:cs="Times New Roman"/>
          <w:sz w:val="23"/>
          <w:szCs w:val="23"/>
        </w:rPr>
        <w:t>FY20</w:t>
      </w:r>
      <w:r w:rsidRPr="005204DB">
        <w:rPr>
          <w:rFonts w:ascii="Times New Roman" w:eastAsiaTheme="minorEastAsia" w:hAnsi="Times New Roman" w:cs="Times New Roman"/>
          <w:sz w:val="23"/>
          <w:szCs w:val="23"/>
        </w:rPr>
        <w:t xml:space="preserve">, </w:t>
      </w:r>
      <w:r w:rsidR="00823EDB" w:rsidRPr="005204DB">
        <w:rPr>
          <w:rFonts w:ascii="Times New Roman" w:eastAsiaTheme="minorEastAsia" w:hAnsi="Times New Roman" w:cs="Times New Roman"/>
          <w:sz w:val="23"/>
          <w:szCs w:val="23"/>
        </w:rPr>
        <w:t>the majority</w:t>
      </w:r>
      <w:r w:rsidRPr="005204DB">
        <w:rPr>
          <w:rFonts w:ascii="Times New Roman" w:eastAsiaTheme="minorEastAsia" w:hAnsi="Times New Roman" w:cs="Times New Roman"/>
          <w:sz w:val="23"/>
          <w:szCs w:val="23"/>
        </w:rPr>
        <w:t xml:space="preserve"> of our workshops were updated to better meet the needs of the teachers</w:t>
      </w:r>
      <w:r w:rsidR="00823EDB" w:rsidRPr="005204DB">
        <w:rPr>
          <w:rFonts w:ascii="Times New Roman" w:eastAsiaTheme="minorEastAsia" w:hAnsi="Times New Roman" w:cs="Times New Roman"/>
          <w:sz w:val="23"/>
          <w:szCs w:val="23"/>
        </w:rPr>
        <w:t xml:space="preserve"> and students</w:t>
      </w:r>
      <w:r w:rsidRPr="005204DB">
        <w:rPr>
          <w:rFonts w:ascii="Times New Roman" w:eastAsiaTheme="minorEastAsia" w:hAnsi="Times New Roman" w:cs="Times New Roman"/>
          <w:sz w:val="23"/>
          <w:szCs w:val="23"/>
        </w:rPr>
        <w:t xml:space="preserve"> in the field. In addition, our </w:t>
      </w:r>
      <w:r w:rsidR="002A69B7" w:rsidRPr="005204DB">
        <w:rPr>
          <w:rFonts w:ascii="Times New Roman" w:eastAsiaTheme="minorEastAsia" w:hAnsi="Times New Roman" w:cs="Times New Roman"/>
          <w:sz w:val="23"/>
          <w:szCs w:val="23"/>
        </w:rPr>
        <w:t>DESE AEL</w:t>
      </w:r>
      <w:r w:rsidRPr="005204DB">
        <w:rPr>
          <w:rFonts w:ascii="Times New Roman" w:eastAsiaTheme="minorEastAsia" w:hAnsi="Times New Roman" w:cs="Times New Roman"/>
          <w:sz w:val="23"/>
          <w:szCs w:val="23"/>
        </w:rPr>
        <w:t xml:space="preserve"> workshops were reformatted using the Department of Elementary and Secondary Education’s </w:t>
      </w:r>
      <w:r w:rsidR="0013124D" w:rsidRPr="005204DB">
        <w:rPr>
          <w:rFonts w:ascii="Times New Roman" w:eastAsiaTheme="minorEastAsia" w:hAnsi="Times New Roman" w:cs="Times New Roman"/>
          <w:sz w:val="23"/>
          <w:szCs w:val="23"/>
        </w:rPr>
        <w:t xml:space="preserve">communications </w:t>
      </w:r>
      <w:r w:rsidRPr="005204DB">
        <w:rPr>
          <w:rFonts w:ascii="Times New Roman" w:eastAsiaTheme="minorEastAsia" w:hAnsi="Times New Roman" w:cs="Times New Roman"/>
          <w:sz w:val="23"/>
          <w:szCs w:val="23"/>
        </w:rPr>
        <w:t>template.</w:t>
      </w:r>
    </w:p>
    <w:p w:rsidR="000F4996" w:rsidRPr="005204DB" w:rsidRDefault="000F4996" w:rsidP="000B6FB9">
      <w:pPr>
        <w:spacing w:after="0" w:line="240" w:lineRule="auto"/>
        <w:rPr>
          <w:rFonts w:ascii="Times New Roman" w:eastAsiaTheme="minorEastAsia" w:hAnsi="Times New Roman" w:cs="Times New Roman"/>
          <w:sz w:val="23"/>
          <w:szCs w:val="23"/>
        </w:rPr>
      </w:pPr>
    </w:p>
    <w:p w:rsidR="000F4996" w:rsidRPr="005204DB" w:rsidRDefault="00276EAC" w:rsidP="000B6FB9">
      <w:pPr>
        <w:tabs>
          <w:tab w:val="left" w:pos="8550"/>
        </w:tabs>
        <w:spacing w:after="0" w:line="240" w:lineRule="auto"/>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 xml:space="preserve">In FY20, DESE AEL used leadership funds to employ two part-time professional development specialists to </w:t>
      </w:r>
      <w:r w:rsidR="0013124D" w:rsidRPr="005204DB">
        <w:rPr>
          <w:rFonts w:ascii="Times New Roman" w:eastAsiaTheme="minorEastAsia" w:hAnsi="Times New Roman" w:cs="Times New Roman"/>
          <w:sz w:val="23"/>
          <w:szCs w:val="23"/>
        </w:rPr>
        <w:t>build new workshops</w:t>
      </w:r>
      <w:r w:rsidR="00823EDB" w:rsidRPr="005204DB">
        <w:rPr>
          <w:rFonts w:ascii="Times New Roman" w:eastAsiaTheme="minorEastAsia" w:hAnsi="Times New Roman" w:cs="Times New Roman"/>
          <w:sz w:val="23"/>
          <w:szCs w:val="23"/>
        </w:rPr>
        <w:t xml:space="preserve"> based on state performance data and other indicators of need for our students. Both r</w:t>
      </w:r>
      <w:r w:rsidR="0013124D" w:rsidRPr="005204DB">
        <w:rPr>
          <w:rFonts w:ascii="Times New Roman" w:eastAsiaTheme="minorEastAsia" w:hAnsi="Times New Roman" w:cs="Times New Roman"/>
          <w:sz w:val="23"/>
          <w:szCs w:val="23"/>
        </w:rPr>
        <w:t>etired teachers, they were also able to facilitate and lead much of the training</w:t>
      </w:r>
      <w:r w:rsidRPr="005204DB">
        <w:rPr>
          <w:rFonts w:ascii="Times New Roman" w:eastAsiaTheme="minorEastAsia" w:hAnsi="Times New Roman" w:cs="Times New Roman"/>
          <w:sz w:val="23"/>
          <w:szCs w:val="23"/>
        </w:rPr>
        <w:t xml:space="preserve">. In addition, </w:t>
      </w:r>
      <w:r w:rsidR="000F4996" w:rsidRPr="005204DB">
        <w:rPr>
          <w:rFonts w:ascii="Times New Roman" w:eastAsiaTheme="minorEastAsia" w:hAnsi="Times New Roman" w:cs="Times New Roman"/>
          <w:sz w:val="23"/>
          <w:szCs w:val="23"/>
        </w:rPr>
        <w:t>DESE contracted other trainers through a bid process</w:t>
      </w:r>
      <w:r w:rsidR="0013124D" w:rsidRPr="005204DB">
        <w:rPr>
          <w:rFonts w:ascii="Times New Roman" w:eastAsiaTheme="minorEastAsia" w:hAnsi="Times New Roman" w:cs="Times New Roman"/>
          <w:sz w:val="23"/>
          <w:szCs w:val="23"/>
        </w:rPr>
        <w:t xml:space="preserve"> who came</w:t>
      </w:r>
      <w:r w:rsidR="000F4996" w:rsidRPr="005204DB">
        <w:rPr>
          <w:rFonts w:ascii="Times New Roman" w:eastAsiaTheme="minorEastAsia" w:hAnsi="Times New Roman" w:cs="Times New Roman"/>
          <w:sz w:val="23"/>
          <w:szCs w:val="23"/>
        </w:rPr>
        <w:t xml:space="preserve"> from a pool of AEL certified teachers recommended by the PD Advisory Committee and certified K-12 teachers who have expertise in th</w:t>
      </w:r>
      <w:r w:rsidR="00823EDB" w:rsidRPr="005204DB">
        <w:rPr>
          <w:rFonts w:ascii="Times New Roman" w:eastAsiaTheme="minorEastAsia" w:hAnsi="Times New Roman" w:cs="Times New Roman"/>
          <w:sz w:val="23"/>
          <w:szCs w:val="23"/>
        </w:rPr>
        <w:t>e field related to the designated workshop.</w:t>
      </w:r>
    </w:p>
    <w:p w:rsidR="000F4996" w:rsidRPr="005204DB" w:rsidRDefault="000F4996" w:rsidP="000B6FB9">
      <w:pPr>
        <w:spacing w:after="0" w:line="240" w:lineRule="auto"/>
        <w:rPr>
          <w:rFonts w:ascii="Times New Roman" w:eastAsiaTheme="minorEastAsia" w:hAnsi="Times New Roman" w:cs="Times New Roman"/>
          <w:sz w:val="23"/>
          <w:szCs w:val="23"/>
        </w:rPr>
      </w:pPr>
    </w:p>
    <w:p w:rsidR="000F4996" w:rsidRPr="005204DB" w:rsidRDefault="000F4996" w:rsidP="000B6FB9">
      <w:pPr>
        <w:spacing w:after="0" w:line="240" w:lineRule="auto"/>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 xml:space="preserve">In Fiscal Year 2020, </w:t>
      </w:r>
      <w:r w:rsidR="002A69B7" w:rsidRPr="005204DB">
        <w:rPr>
          <w:rFonts w:ascii="Times New Roman" w:eastAsiaTheme="minorEastAsia" w:hAnsi="Times New Roman" w:cs="Times New Roman"/>
          <w:sz w:val="23"/>
          <w:szCs w:val="23"/>
        </w:rPr>
        <w:t>DESE AEL</w:t>
      </w:r>
      <w:r w:rsidRPr="005204DB">
        <w:rPr>
          <w:rFonts w:ascii="Times New Roman" w:eastAsiaTheme="minorEastAsia" w:hAnsi="Times New Roman" w:cs="Times New Roman"/>
          <w:sz w:val="23"/>
          <w:szCs w:val="23"/>
        </w:rPr>
        <w:t xml:space="preserve"> hosted 66 workshops/trainings. The workshops/trainings were attended by 1,024 teachers and directors</w:t>
      </w:r>
      <w:r w:rsidR="005F25B7" w:rsidRPr="005204DB">
        <w:rPr>
          <w:rFonts w:ascii="Times New Roman" w:eastAsiaTheme="minorEastAsia" w:hAnsi="Times New Roman" w:cs="Times New Roman"/>
          <w:sz w:val="23"/>
          <w:szCs w:val="23"/>
        </w:rPr>
        <w:t>:</w:t>
      </w:r>
    </w:p>
    <w:tbl>
      <w:tblPr>
        <w:tblStyle w:val="TableGrid"/>
        <w:tblW w:w="0" w:type="auto"/>
        <w:tblInd w:w="0" w:type="dxa"/>
        <w:tblLook w:val="04A0" w:firstRow="1" w:lastRow="0" w:firstColumn="1" w:lastColumn="0" w:noHBand="0" w:noVBand="1"/>
      </w:tblPr>
      <w:tblGrid>
        <w:gridCol w:w="5508"/>
        <w:gridCol w:w="3510"/>
      </w:tblGrid>
      <w:tr w:rsidR="000F4996" w:rsidRPr="005204DB" w:rsidTr="004140D8">
        <w:tc>
          <w:tcPr>
            <w:tcW w:w="550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0F4996" w:rsidRPr="005204DB" w:rsidRDefault="000F4996" w:rsidP="000B6FB9">
            <w:pPr>
              <w:rPr>
                <w:rFonts w:ascii="Times New Roman" w:eastAsiaTheme="minorEastAsia" w:hAnsi="Times New Roman" w:cs="Times New Roman"/>
                <w:b/>
                <w:sz w:val="23"/>
                <w:szCs w:val="23"/>
              </w:rPr>
            </w:pPr>
            <w:r w:rsidRPr="005204DB">
              <w:rPr>
                <w:rFonts w:ascii="Times New Roman" w:eastAsiaTheme="minorEastAsia" w:hAnsi="Times New Roman" w:cs="Times New Roman"/>
                <w:b/>
                <w:sz w:val="23"/>
                <w:szCs w:val="23"/>
              </w:rPr>
              <w:t>TOPIC RELATED TO:</w:t>
            </w:r>
          </w:p>
        </w:tc>
        <w:tc>
          <w:tcPr>
            <w:tcW w:w="351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0F4996" w:rsidRPr="005204DB" w:rsidRDefault="000F4996" w:rsidP="000B6FB9">
            <w:pPr>
              <w:rPr>
                <w:rFonts w:ascii="Times New Roman" w:eastAsiaTheme="minorEastAsia" w:hAnsi="Times New Roman" w:cs="Times New Roman"/>
                <w:b/>
                <w:sz w:val="23"/>
                <w:szCs w:val="23"/>
              </w:rPr>
            </w:pPr>
            <w:r w:rsidRPr="005204DB">
              <w:rPr>
                <w:rFonts w:ascii="Times New Roman" w:eastAsiaTheme="minorEastAsia" w:hAnsi="Times New Roman" w:cs="Times New Roman"/>
                <w:b/>
                <w:sz w:val="23"/>
                <w:szCs w:val="23"/>
              </w:rPr>
              <w:t>Number of Workshops Hosted</w:t>
            </w:r>
          </w:p>
        </w:tc>
      </w:tr>
      <w:tr w:rsidR="000F4996" w:rsidRPr="005204DB" w:rsidTr="00A24FFE">
        <w:tc>
          <w:tcPr>
            <w:tcW w:w="5508" w:type="dxa"/>
            <w:tcBorders>
              <w:top w:val="single" w:sz="4" w:space="0" w:color="auto"/>
              <w:left w:val="single" w:sz="4" w:space="0" w:color="auto"/>
              <w:bottom w:val="single" w:sz="4" w:space="0" w:color="auto"/>
              <w:right w:val="single" w:sz="4" w:space="0" w:color="auto"/>
            </w:tcBorders>
            <w:hideMark/>
          </w:tcPr>
          <w:p w:rsidR="000F4996" w:rsidRPr="005204DB" w:rsidRDefault="000F4996" w:rsidP="000B6FB9">
            <w:pP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Teacher Certification</w:t>
            </w:r>
          </w:p>
        </w:tc>
        <w:tc>
          <w:tcPr>
            <w:tcW w:w="3510" w:type="dxa"/>
            <w:tcBorders>
              <w:top w:val="single" w:sz="4" w:space="0" w:color="auto"/>
              <w:left w:val="single" w:sz="4" w:space="0" w:color="auto"/>
              <w:bottom w:val="single" w:sz="4" w:space="0" w:color="auto"/>
              <w:right w:val="single" w:sz="4" w:space="0" w:color="auto"/>
            </w:tcBorders>
            <w:hideMark/>
          </w:tcPr>
          <w:p w:rsidR="000F4996" w:rsidRPr="005204DB" w:rsidRDefault="000F4996" w:rsidP="000B6FB9">
            <w:pPr>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12</w:t>
            </w:r>
          </w:p>
        </w:tc>
      </w:tr>
      <w:tr w:rsidR="000F4996" w:rsidRPr="005204DB" w:rsidTr="00A24FFE">
        <w:trPr>
          <w:trHeight w:val="260"/>
        </w:trPr>
        <w:tc>
          <w:tcPr>
            <w:tcW w:w="5508" w:type="dxa"/>
            <w:tcBorders>
              <w:top w:val="single" w:sz="4" w:space="0" w:color="auto"/>
              <w:left w:val="single" w:sz="4" w:space="0" w:color="auto"/>
              <w:bottom w:val="single" w:sz="4" w:space="0" w:color="auto"/>
              <w:right w:val="single" w:sz="4" w:space="0" w:color="auto"/>
            </w:tcBorders>
            <w:hideMark/>
          </w:tcPr>
          <w:p w:rsidR="000F4996" w:rsidRPr="005204DB" w:rsidRDefault="000F4996" w:rsidP="000B6FB9">
            <w:pP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 xml:space="preserve">College and Career Readiness </w:t>
            </w:r>
          </w:p>
        </w:tc>
        <w:tc>
          <w:tcPr>
            <w:tcW w:w="3510" w:type="dxa"/>
            <w:tcBorders>
              <w:top w:val="single" w:sz="4" w:space="0" w:color="auto"/>
              <w:left w:val="single" w:sz="4" w:space="0" w:color="auto"/>
              <w:bottom w:val="single" w:sz="4" w:space="0" w:color="auto"/>
              <w:right w:val="single" w:sz="4" w:space="0" w:color="auto"/>
            </w:tcBorders>
            <w:hideMark/>
          </w:tcPr>
          <w:p w:rsidR="000F4996" w:rsidRPr="005204DB" w:rsidRDefault="000F4996" w:rsidP="000B6FB9">
            <w:pPr>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12</w:t>
            </w:r>
          </w:p>
        </w:tc>
      </w:tr>
      <w:tr w:rsidR="000F4996" w:rsidRPr="005204DB" w:rsidTr="00A24FFE">
        <w:tc>
          <w:tcPr>
            <w:tcW w:w="5508" w:type="dxa"/>
            <w:tcBorders>
              <w:top w:val="single" w:sz="4" w:space="0" w:color="auto"/>
              <w:left w:val="single" w:sz="4" w:space="0" w:color="auto"/>
              <w:bottom w:val="single" w:sz="4" w:space="0" w:color="auto"/>
              <w:right w:val="single" w:sz="4" w:space="0" w:color="auto"/>
            </w:tcBorders>
            <w:hideMark/>
          </w:tcPr>
          <w:p w:rsidR="000F4996" w:rsidRPr="005204DB" w:rsidRDefault="000F4996" w:rsidP="000B6FB9">
            <w:pP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English Language Learners</w:t>
            </w:r>
          </w:p>
        </w:tc>
        <w:tc>
          <w:tcPr>
            <w:tcW w:w="3510" w:type="dxa"/>
            <w:tcBorders>
              <w:top w:val="single" w:sz="4" w:space="0" w:color="auto"/>
              <w:left w:val="single" w:sz="4" w:space="0" w:color="auto"/>
              <w:bottom w:val="single" w:sz="4" w:space="0" w:color="auto"/>
              <w:right w:val="single" w:sz="4" w:space="0" w:color="auto"/>
            </w:tcBorders>
            <w:hideMark/>
          </w:tcPr>
          <w:p w:rsidR="000F4996" w:rsidRPr="005204DB" w:rsidRDefault="000F4996" w:rsidP="000B6FB9">
            <w:pPr>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16</w:t>
            </w:r>
          </w:p>
        </w:tc>
      </w:tr>
      <w:tr w:rsidR="000F4996" w:rsidRPr="005204DB" w:rsidTr="00A24FFE">
        <w:tc>
          <w:tcPr>
            <w:tcW w:w="5508" w:type="dxa"/>
            <w:tcBorders>
              <w:top w:val="single" w:sz="4" w:space="0" w:color="auto"/>
              <w:left w:val="single" w:sz="4" w:space="0" w:color="auto"/>
              <w:bottom w:val="single" w:sz="4" w:space="0" w:color="auto"/>
              <w:right w:val="single" w:sz="4" w:space="0" w:color="auto"/>
            </w:tcBorders>
            <w:hideMark/>
          </w:tcPr>
          <w:p w:rsidR="000F4996" w:rsidRPr="005204DB" w:rsidRDefault="000F4996" w:rsidP="000B6FB9">
            <w:pPr>
              <w:rPr>
                <w:rFonts w:ascii="Times New Roman" w:eastAsiaTheme="minorEastAsia" w:hAnsi="Times New Roman" w:cs="Times New Roman"/>
                <w:sz w:val="23"/>
                <w:szCs w:val="23"/>
                <w:highlight w:val="lightGray"/>
              </w:rPr>
            </w:pPr>
            <w:r w:rsidRPr="005204DB">
              <w:rPr>
                <w:rFonts w:ascii="Times New Roman" w:eastAsiaTheme="minorEastAsia" w:hAnsi="Times New Roman" w:cs="Times New Roman"/>
                <w:sz w:val="23"/>
                <w:szCs w:val="23"/>
              </w:rPr>
              <w:t>Differentiated Instruction/Instructional Strategies</w:t>
            </w:r>
          </w:p>
        </w:tc>
        <w:tc>
          <w:tcPr>
            <w:tcW w:w="3510" w:type="dxa"/>
            <w:tcBorders>
              <w:top w:val="single" w:sz="4" w:space="0" w:color="auto"/>
              <w:left w:val="single" w:sz="4" w:space="0" w:color="auto"/>
              <w:bottom w:val="single" w:sz="4" w:space="0" w:color="auto"/>
              <w:right w:val="single" w:sz="4" w:space="0" w:color="auto"/>
            </w:tcBorders>
            <w:hideMark/>
          </w:tcPr>
          <w:p w:rsidR="000F4996" w:rsidRPr="005204DB" w:rsidRDefault="000F4996" w:rsidP="000B6FB9">
            <w:pPr>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2</w:t>
            </w:r>
          </w:p>
        </w:tc>
      </w:tr>
      <w:tr w:rsidR="000F4996" w:rsidRPr="005204DB" w:rsidTr="00A24FFE">
        <w:tc>
          <w:tcPr>
            <w:tcW w:w="5508" w:type="dxa"/>
            <w:tcBorders>
              <w:top w:val="single" w:sz="4" w:space="0" w:color="auto"/>
              <w:left w:val="single" w:sz="4" w:space="0" w:color="auto"/>
              <w:bottom w:val="single" w:sz="4" w:space="0" w:color="auto"/>
              <w:right w:val="single" w:sz="4" w:space="0" w:color="auto"/>
            </w:tcBorders>
          </w:tcPr>
          <w:p w:rsidR="000F4996" w:rsidRPr="005204DB" w:rsidRDefault="000F4996" w:rsidP="000B6FB9">
            <w:pP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Reading</w:t>
            </w:r>
          </w:p>
        </w:tc>
        <w:tc>
          <w:tcPr>
            <w:tcW w:w="3510" w:type="dxa"/>
            <w:tcBorders>
              <w:top w:val="single" w:sz="4" w:space="0" w:color="auto"/>
              <w:left w:val="single" w:sz="4" w:space="0" w:color="auto"/>
              <w:bottom w:val="single" w:sz="4" w:space="0" w:color="auto"/>
              <w:right w:val="single" w:sz="4" w:space="0" w:color="auto"/>
            </w:tcBorders>
          </w:tcPr>
          <w:p w:rsidR="000F4996" w:rsidRPr="005204DB" w:rsidRDefault="000F4996" w:rsidP="000B6FB9">
            <w:pPr>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4</w:t>
            </w:r>
          </w:p>
        </w:tc>
      </w:tr>
      <w:tr w:rsidR="000F4996" w:rsidRPr="005204DB" w:rsidTr="00A24FFE">
        <w:tc>
          <w:tcPr>
            <w:tcW w:w="5508" w:type="dxa"/>
            <w:tcBorders>
              <w:top w:val="single" w:sz="4" w:space="0" w:color="auto"/>
              <w:left w:val="single" w:sz="4" w:space="0" w:color="auto"/>
              <w:bottom w:val="single" w:sz="4" w:space="0" w:color="auto"/>
              <w:right w:val="single" w:sz="4" w:space="0" w:color="auto"/>
            </w:tcBorders>
          </w:tcPr>
          <w:p w:rsidR="000F4996" w:rsidRPr="005204DB" w:rsidRDefault="000F4996" w:rsidP="000B6FB9">
            <w:pP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Evidence Based Writing</w:t>
            </w:r>
          </w:p>
        </w:tc>
        <w:tc>
          <w:tcPr>
            <w:tcW w:w="3510" w:type="dxa"/>
            <w:tcBorders>
              <w:top w:val="single" w:sz="4" w:space="0" w:color="auto"/>
              <w:left w:val="single" w:sz="4" w:space="0" w:color="auto"/>
              <w:bottom w:val="single" w:sz="4" w:space="0" w:color="auto"/>
              <w:right w:val="single" w:sz="4" w:space="0" w:color="auto"/>
            </w:tcBorders>
          </w:tcPr>
          <w:p w:rsidR="000F4996" w:rsidRPr="005204DB" w:rsidRDefault="000F4996" w:rsidP="000B6FB9">
            <w:pPr>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8</w:t>
            </w:r>
          </w:p>
        </w:tc>
      </w:tr>
      <w:tr w:rsidR="000F4996" w:rsidRPr="005204DB" w:rsidTr="00A24FFE">
        <w:tc>
          <w:tcPr>
            <w:tcW w:w="5508" w:type="dxa"/>
            <w:tcBorders>
              <w:top w:val="single" w:sz="4" w:space="0" w:color="auto"/>
              <w:left w:val="single" w:sz="4" w:space="0" w:color="auto"/>
              <w:bottom w:val="single" w:sz="4" w:space="0" w:color="auto"/>
              <w:right w:val="single" w:sz="4" w:space="0" w:color="auto"/>
            </w:tcBorders>
            <w:hideMark/>
          </w:tcPr>
          <w:p w:rsidR="000F4996" w:rsidRPr="005204DB" w:rsidRDefault="000F4996" w:rsidP="000B6FB9">
            <w:pP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Mathematics</w:t>
            </w:r>
          </w:p>
        </w:tc>
        <w:tc>
          <w:tcPr>
            <w:tcW w:w="3510" w:type="dxa"/>
            <w:tcBorders>
              <w:top w:val="single" w:sz="4" w:space="0" w:color="auto"/>
              <w:left w:val="single" w:sz="4" w:space="0" w:color="auto"/>
              <w:bottom w:val="single" w:sz="4" w:space="0" w:color="auto"/>
              <w:right w:val="single" w:sz="4" w:space="0" w:color="auto"/>
            </w:tcBorders>
            <w:hideMark/>
          </w:tcPr>
          <w:p w:rsidR="000F4996" w:rsidRPr="005204DB" w:rsidRDefault="000F4996" w:rsidP="000B6FB9">
            <w:pPr>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6</w:t>
            </w:r>
          </w:p>
        </w:tc>
      </w:tr>
      <w:tr w:rsidR="000F4996" w:rsidRPr="005204DB" w:rsidTr="00A24FFE">
        <w:tc>
          <w:tcPr>
            <w:tcW w:w="5508" w:type="dxa"/>
            <w:tcBorders>
              <w:top w:val="single" w:sz="4" w:space="0" w:color="auto"/>
              <w:left w:val="single" w:sz="4" w:space="0" w:color="auto"/>
              <w:bottom w:val="single" w:sz="4" w:space="0" w:color="auto"/>
              <w:right w:val="single" w:sz="4" w:space="0" w:color="auto"/>
            </w:tcBorders>
          </w:tcPr>
          <w:p w:rsidR="000F4996" w:rsidRPr="005204DB" w:rsidRDefault="000F4996" w:rsidP="000B6FB9">
            <w:pP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Workforce Readiness</w:t>
            </w:r>
          </w:p>
        </w:tc>
        <w:tc>
          <w:tcPr>
            <w:tcW w:w="3510" w:type="dxa"/>
            <w:tcBorders>
              <w:top w:val="single" w:sz="4" w:space="0" w:color="auto"/>
              <w:left w:val="single" w:sz="4" w:space="0" w:color="auto"/>
              <w:bottom w:val="single" w:sz="4" w:space="0" w:color="auto"/>
              <w:right w:val="single" w:sz="4" w:space="0" w:color="auto"/>
            </w:tcBorders>
          </w:tcPr>
          <w:p w:rsidR="000F4996" w:rsidRPr="005204DB" w:rsidRDefault="000F4996" w:rsidP="000B6FB9">
            <w:pPr>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6</w:t>
            </w:r>
          </w:p>
        </w:tc>
      </w:tr>
      <w:tr w:rsidR="000F4996" w:rsidRPr="005204DB" w:rsidTr="004140D8">
        <w:tc>
          <w:tcPr>
            <w:tcW w:w="550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0F4996" w:rsidRPr="005204DB" w:rsidRDefault="000F4996" w:rsidP="000B6FB9">
            <w:pPr>
              <w:jc w:val="center"/>
              <w:rPr>
                <w:rFonts w:ascii="Times New Roman" w:eastAsiaTheme="minorEastAsia" w:hAnsi="Times New Roman" w:cs="Times New Roman"/>
                <w:b/>
                <w:sz w:val="23"/>
                <w:szCs w:val="23"/>
              </w:rPr>
            </w:pPr>
            <w:r w:rsidRPr="005204DB">
              <w:rPr>
                <w:rFonts w:ascii="Times New Roman" w:eastAsiaTheme="minorEastAsia" w:hAnsi="Times New Roman" w:cs="Times New Roman"/>
                <w:b/>
                <w:sz w:val="23"/>
                <w:szCs w:val="23"/>
              </w:rPr>
              <w:t>TOTAL</w:t>
            </w:r>
          </w:p>
        </w:tc>
        <w:tc>
          <w:tcPr>
            <w:tcW w:w="351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0F4996" w:rsidRPr="005204DB" w:rsidRDefault="000F4996" w:rsidP="000B6FB9">
            <w:pPr>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66</w:t>
            </w:r>
          </w:p>
        </w:tc>
      </w:tr>
    </w:tbl>
    <w:p w:rsidR="005204DB" w:rsidRDefault="005204DB" w:rsidP="000B6FB9">
      <w:pPr>
        <w:spacing w:after="0" w:line="240" w:lineRule="auto"/>
        <w:rPr>
          <w:rFonts w:ascii="Times New Roman" w:eastAsiaTheme="minorEastAsia" w:hAnsi="Times New Roman" w:cs="Times New Roman"/>
          <w:sz w:val="23"/>
          <w:szCs w:val="23"/>
        </w:rPr>
      </w:pPr>
    </w:p>
    <w:p w:rsidR="000F4996" w:rsidRPr="005204DB" w:rsidRDefault="000F4996" w:rsidP="000B6FB9">
      <w:pPr>
        <w:spacing w:after="0" w:line="240" w:lineRule="auto"/>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Due to the COVID-19 Pandemic in Mar</w:t>
      </w:r>
      <w:r w:rsidR="005F25B7" w:rsidRPr="005204DB">
        <w:rPr>
          <w:rFonts w:ascii="Times New Roman" w:eastAsiaTheme="minorEastAsia" w:hAnsi="Times New Roman" w:cs="Times New Roman"/>
          <w:sz w:val="23"/>
          <w:szCs w:val="23"/>
        </w:rPr>
        <w:t>ch 2020, we were forced to cancel</w:t>
      </w:r>
      <w:r w:rsidRPr="005204DB">
        <w:rPr>
          <w:rFonts w:ascii="Times New Roman" w:eastAsiaTheme="minorEastAsia" w:hAnsi="Times New Roman" w:cs="Times New Roman"/>
          <w:sz w:val="23"/>
          <w:szCs w:val="23"/>
        </w:rPr>
        <w:t xml:space="preserve"> all workshops across the state</w:t>
      </w:r>
      <w:r w:rsidR="005F25B7" w:rsidRPr="005204DB">
        <w:rPr>
          <w:rFonts w:ascii="Times New Roman" w:eastAsiaTheme="minorEastAsia" w:hAnsi="Times New Roman" w:cs="Times New Roman"/>
          <w:sz w:val="23"/>
          <w:szCs w:val="23"/>
        </w:rPr>
        <w:t xml:space="preserve"> due to a travel ban for state business:</w:t>
      </w:r>
    </w:p>
    <w:tbl>
      <w:tblPr>
        <w:tblStyle w:val="TableGrid"/>
        <w:tblW w:w="0" w:type="auto"/>
        <w:tblInd w:w="0" w:type="dxa"/>
        <w:tblLook w:val="04A0" w:firstRow="1" w:lastRow="0" w:firstColumn="1" w:lastColumn="0" w:noHBand="0" w:noVBand="1"/>
      </w:tblPr>
      <w:tblGrid>
        <w:gridCol w:w="5215"/>
        <w:gridCol w:w="3803"/>
      </w:tblGrid>
      <w:tr w:rsidR="000F4996" w:rsidRPr="005204DB" w:rsidTr="004140D8">
        <w:tc>
          <w:tcPr>
            <w:tcW w:w="52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0F4996" w:rsidRPr="005204DB" w:rsidRDefault="000F4996" w:rsidP="000B6FB9">
            <w:pPr>
              <w:rPr>
                <w:rFonts w:ascii="Times New Roman" w:eastAsiaTheme="minorEastAsia" w:hAnsi="Times New Roman" w:cs="Times New Roman"/>
                <w:b/>
                <w:sz w:val="23"/>
                <w:szCs w:val="23"/>
              </w:rPr>
            </w:pPr>
            <w:r w:rsidRPr="005204DB">
              <w:rPr>
                <w:rFonts w:ascii="Times New Roman" w:eastAsiaTheme="minorEastAsia" w:hAnsi="Times New Roman" w:cs="Times New Roman"/>
                <w:b/>
                <w:sz w:val="23"/>
                <w:szCs w:val="23"/>
              </w:rPr>
              <w:t>TOPIC RELATED TO:</w:t>
            </w:r>
          </w:p>
        </w:tc>
        <w:tc>
          <w:tcPr>
            <w:tcW w:w="380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0F4996" w:rsidRPr="005204DB" w:rsidRDefault="000F4996" w:rsidP="000B6FB9">
            <w:pPr>
              <w:jc w:val="center"/>
              <w:rPr>
                <w:rFonts w:ascii="Times New Roman" w:eastAsiaTheme="minorEastAsia" w:hAnsi="Times New Roman" w:cs="Times New Roman"/>
                <w:b/>
                <w:sz w:val="23"/>
                <w:szCs w:val="23"/>
              </w:rPr>
            </w:pPr>
            <w:r w:rsidRPr="005204DB">
              <w:rPr>
                <w:rFonts w:ascii="Times New Roman" w:eastAsiaTheme="minorEastAsia" w:hAnsi="Times New Roman" w:cs="Times New Roman"/>
                <w:b/>
                <w:sz w:val="23"/>
                <w:szCs w:val="23"/>
              </w:rPr>
              <w:t>Number of Workshops Canceled</w:t>
            </w:r>
          </w:p>
        </w:tc>
      </w:tr>
      <w:tr w:rsidR="000F4996" w:rsidRPr="005204DB" w:rsidTr="00A24FFE">
        <w:tc>
          <w:tcPr>
            <w:tcW w:w="5215" w:type="dxa"/>
            <w:tcBorders>
              <w:top w:val="single" w:sz="4" w:space="0" w:color="auto"/>
              <w:left w:val="single" w:sz="4" w:space="0" w:color="auto"/>
              <w:bottom w:val="single" w:sz="4" w:space="0" w:color="auto"/>
              <w:right w:val="single" w:sz="4" w:space="0" w:color="auto"/>
            </w:tcBorders>
            <w:hideMark/>
          </w:tcPr>
          <w:p w:rsidR="000F4996" w:rsidRPr="005204DB" w:rsidRDefault="000F4996" w:rsidP="000B6FB9">
            <w:pP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Teacher Certification</w:t>
            </w:r>
          </w:p>
        </w:tc>
        <w:tc>
          <w:tcPr>
            <w:tcW w:w="3803" w:type="dxa"/>
            <w:tcBorders>
              <w:top w:val="single" w:sz="4" w:space="0" w:color="auto"/>
              <w:left w:val="single" w:sz="4" w:space="0" w:color="auto"/>
              <w:bottom w:val="single" w:sz="4" w:space="0" w:color="auto"/>
              <w:right w:val="single" w:sz="4" w:space="0" w:color="auto"/>
            </w:tcBorders>
            <w:hideMark/>
          </w:tcPr>
          <w:p w:rsidR="000F4996" w:rsidRPr="005204DB" w:rsidRDefault="000F4996" w:rsidP="000B6FB9">
            <w:pPr>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6</w:t>
            </w:r>
          </w:p>
        </w:tc>
      </w:tr>
      <w:tr w:rsidR="000F4996" w:rsidRPr="005204DB" w:rsidTr="00A24FFE">
        <w:trPr>
          <w:trHeight w:val="260"/>
        </w:trPr>
        <w:tc>
          <w:tcPr>
            <w:tcW w:w="5215" w:type="dxa"/>
            <w:tcBorders>
              <w:top w:val="single" w:sz="4" w:space="0" w:color="auto"/>
              <w:left w:val="single" w:sz="4" w:space="0" w:color="auto"/>
              <w:bottom w:val="single" w:sz="4" w:space="0" w:color="auto"/>
              <w:right w:val="single" w:sz="4" w:space="0" w:color="auto"/>
            </w:tcBorders>
            <w:hideMark/>
          </w:tcPr>
          <w:p w:rsidR="000F4996" w:rsidRPr="005204DB" w:rsidRDefault="000F4996" w:rsidP="000B6FB9">
            <w:pP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 xml:space="preserve">College and Career Readiness </w:t>
            </w:r>
          </w:p>
        </w:tc>
        <w:tc>
          <w:tcPr>
            <w:tcW w:w="3803" w:type="dxa"/>
            <w:tcBorders>
              <w:top w:val="single" w:sz="4" w:space="0" w:color="auto"/>
              <w:left w:val="single" w:sz="4" w:space="0" w:color="auto"/>
              <w:bottom w:val="single" w:sz="4" w:space="0" w:color="auto"/>
              <w:right w:val="single" w:sz="4" w:space="0" w:color="auto"/>
            </w:tcBorders>
            <w:hideMark/>
          </w:tcPr>
          <w:p w:rsidR="000F4996" w:rsidRPr="005204DB" w:rsidRDefault="000F4996" w:rsidP="000B6FB9">
            <w:pPr>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6</w:t>
            </w:r>
          </w:p>
        </w:tc>
      </w:tr>
      <w:tr w:rsidR="000F4996" w:rsidRPr="005204DB" w:rsidTr="00A24FFE">
        <w:tc>
          <w:tcPr>
            <w:tcW w:w="5215" w:type="dxa"/>
            <w:tcBorders>
              <w:top w:val="single" w:sz="4" w:space="0" w:color="auto"/>
              <w:left w:val="single" w:sz="4" w:space="0" w:color="auto"/>
              <w:bottom w:val="single" w:sz="4" w:space="0" w:color="auto"/>
              <w:right w:val="single" w:sz="4" w:space="0" w:color="auto"/>
            </w:tcBorders>
            <w:hideMark/>
          </w:tcPr>
          <w:p w:rsidR="000F4996" w:rsidRPr="005204DB" w:rsidRDefault="000F4996" w:rsidP="000B6FB9">
            <w:pP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English Language Learners</w:t>
            </w:r>
          </w:p>
        </w:tc>
        <w:tc>
          <w:tcPr>
            <w:tcW w:w="3803" w:type="dxa"/>
            <w:tcBorders>
              <w:top w:val="single" w:sz="4" w:space="0" w:color="auto"/>
              <w:left w:val="single" w:sz="4" w:space="0" w:color="auto"/>
              <w:bottom w:val="single" w:sz="4" w:space="0" w:color="auto"/>
              <w:right w:val="single" w:sz="4" w:space="0" w:color="auto"/>
            </w:tcBorders>
            <w:hideMark/>
          </w:tcPr>
          <w:p w:rsidR="000F4996" w:rsidRPr="005204DB" w:rsidRDefault="000F4996" w:rsidP="000B6FB9">
            <w:pPr>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12</w:t>
            </w:r>
          </w:p>
        </w:tc>
      </w:tr>
      <w:tr w:rsidR="000F4996" w:rsidRPr="005204DB" w:rsidTr="00A24FFE">
        <w:tc>
          <w:tcPr>
            <w:tcW w:w="5215" w:type="dxa"/>
            <w:tcBorders>
              <w:top w:val="single" w:sz="4" w:space="0" w:color="auto"/>
              <w:left w:val="single" w:sz="4" w:space="0" w:color="auto"/>
              <w:bottom w:val="single" w:sz="4" w:space="0" w:color="auto"/>
              <w:right w:val="single" w:sz="4" w:space="0" w:color="auto"/>
            </w:tcBorders>
            <w:hideMark/>
          </w:tcPr>
          <w:p w:rsidR="000F4996" w:rsidRPr="005204DB" w:rsidRDefault="000F4996" w:rsidP="000B6FB9">
            <w:pPr>
              <w:rPr>
                <w:rFonts w:ascii="Times New Roman" w:eastAsiaTheme="minorEastAsia" w:hAnsi="Times New Roman" w:cs="Times New Roman"/>
                <w:sz w:val="23"/>
                <w:szCs w:val="23"/>
                <w:highlight w:val="lightGray"/>
              </w:rPr>
            </w:pPr>
            <w:r w:rsidRPr="005204DB">
              <w:rPr>
                <w:rFonts w:ascii="Times New Roman" w:eastAsiaTheme="minorEastAsia" w:hAnsi="Times New Roman" w:cs="Times New Roman"/>
                <w:sz w:val="23"/>
                <w:szCs w:val="23"/>
              </w:rPr>
              <w:t>Differentiated Instruction/Instructional Strategies</w:t>
            </w:r>
          </w:p>
        </w:tc>
        <w:tc>
          <w:tcPr>
            <w:tcW w:w="3803" w:type="dxa"/>
            <w:tcBorders>
              <w:top w:val="single" w:sz="4" w:space="0" w:color="auto"/>
              <w:left w:val="single" w:sz="4" w:space="0" w:color="auto"/>
              <w:bottom w:val="single" w:sz="4" w:space="0" w:color="auto"/>
              <w:right w:val="single" w:sz="4" w:space="0" w:color="auto"/>
            </w:tcBorders>
            <w:hideMark/>
          </w:tcPr>
          <w:p w:rsidR="000F4996" w:rsidRPr="005204DB" w:rsidRDefault="000F4996" w:rsidP="000B6FB9">
            <w:pPr>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11</w:t>
            </w:r>
          </w:p>
        </w:tc>
      </w:tr>
      <w:tr w:rsidR="000F4996" w:rsidRPr="005204DB" w:rsidTr="00A24FFE">
        <w:tc>
          <w:tcPr>
            <w:tcW w:w="5215" w:type="dxa"/>
            <w:tcBorders>
              <w:top w:val="single" w:sz="4" w:space="0" w:color="auto"/>
              <w:left w:val="single" w:sz="4" w:space="0" w:color="auto"/>
              <w:bottom w:val="single" w:sz="4" w:space="0" w:color="auto"/>
              <w:right w:val="single" w:sz="4" w:space="0" w:color="auto"/>
            </w:tcBorders>
          </w:tcPr>
          <w:p w:rsidR="000F4996" w:rsidRPr="005204DB" w:rsidRDefault="000F4996" w:rsidP="000B6FB9">
            <w:pP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Reading</w:t>
            </w:r>
          </w:p>
        </w:tc>
        <w:tc>
          <w:tcPr>
            <w:tcW w:w="3803" w:type="dxa"/>
            <w:tcBorders>
              <w:top w:val="single" w:sz="4" w:space="0" w:color="auto"/>
              <w:left w:val="single" w:sz="4" w:space="0" w:color="auto"/>
              <w:bottom w:val="single" w:sz="4" w:space="0" w:color="auto"/>
              <w:right w:val="single" w:sz="4" w:space="0" w:color="auto"/>
            </w:tcBorders>
          </w:tcPr>
          <w:p w:rsidR="000F4996" w:rsidRPr="005204DB" w:rsidRDefault="000F4996" w:rsidP="000B6FB9">
            <w:pPr>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3</w:t>
            </w:r>
          </w:p>
        </w:tc>
      </w:tr>
      <w:tr w:rsidR="000F4996" w:rsidRPr="005204DB" w:rsidTr="00A24FFE">
        <w:tc>
          <w:tcPr>
            <w:tcW w:w="5215" w:type="dxa"/>
            <w:tcBorders>
              <w:top w:val="single" w:sz="4" w:space="0" w:color="auto"/>
              <w:left w:val="single" w:sz="4" w:space="0" w:color="auto"/>
              <w:bottom w:val="single" w:sz="4" w:space="0" w:color="auto"/>
              <w:right w:val="single" w:sz="4" w:space="0" w:color="auto"/>
            </w:tcBorders>
          </w:tcPr>
          <w:p w:rsidR="000F4996" w:rsidRPr="005204DB" w:rsidRDefault="000F4996" w:rsidP="000B6FB9">
            <w:pP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Evidence Based Writing</w:t>
            </w:r>
          </w:p>
        </w:tc>
        <w:tc>
          <w:tcPr>
            <w:tcW w:w="3803" w:type="dxa"/>
            <w:tcBorders>
              <w:top w:val="single" w:sz="4" w:space="0" w:color="auto"/>
              <w:left w:val="single" w:sz="4" w:space="0" w:color="auto"/>
              <w:bottom w:val="single" w:sz="4" w:space="0" w:color="auto"/>
              <w:right w:val="single" w:sz="4" w:space="0" w:color="auto"/>
            </w:tcBorders>
          </w:tcPr>
          <w:p w:rsidR="000F4996" w:rsidRPr="005204DB" w:rsidRDefault="000F4996" w:rsidP="000B6FB9">
            <w:pPr>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4</w:t>
            </w:r>
          </w:p>
        </w:tc>
      </w:tr>
      <w:tr w:rsidR="000F4996" w:rsidRPr="005204DB" w:rsidTr="00A24FFE">
        <w:tc>
          <w:tcPr>
            <w:tcW w:w="5215" w:type="dxa"/>
            <w:tcBorders>
              <w:top w:val="single" w:sz="4" w:space="0" w:color="auto"/>
              <w:left w:val="single" w:sz="4" w:space="0" w:color="auto"/>
              <w:bottom w:val="single" w:sz="4" w:space="0" w:color="auto"/>
              <w:right w:val="single" w:sz="4" w:space="0" w:color="auto"/>
            </w:tcBorders>
            <w:hideMark/>
          </w:tcPr>
          <w:p w:rsidR="000F4996" w:rsidRPr="005204DB" w:rsidRDefault="000F4996" w:rsidP="000B6FB9">
            <w:pP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Mathematics</w:t>
            </w:r>
          </w:p>
        </w:tc>
        <w:tc>
          <w:tcPr>
            <w:tcW w:w="3803" w:type="dxa"/>
            <w:tcBorders>
              <w:top w:val="single" w:sz="4" w:space="0" w:color="auto"/>
              <w:left w:val="single" w:sz="4" w:space="0" w:color="auto"/>
              <w:bottom w:val="single" w:sz="4" w:space="0" w:color="auto"/>
              <w:right w:val="single" w:sz="4" w:space="0" w:color="auto"/>
            </w:tcBorders>
            <w:hideMark/>
          </w:tcPr>
          <w:p w:rsidR="000F4996" w:rsidRPr="005204DB" w:rsidRDefault="000F4996" w:rsidP="000B6FB9">
            <w:pPr>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14</w:t>
            </w:r>
          </w:p>
        </w:tc>
      </w:tr>
      <w:tr w:rsidR="000F4996" w:rsidRPr="005204DB" w:rsidTr="00A24FFE">
        <w:tc>
          <w:tcPr>
            <w:tcW w:w="5215" w:type="dxa"/>
            <w:tcBorders>
              <w:top w:val="single" w:sz="4" w:space="0" w:color="auto"/>
              <w:left w:val="single" w:sz="4" w:space="0" w:color="auto"/>
              <w:bottom w:val="single" w:sz="4" w:space="0" w:color="auto"/>
              <w:right w:val="single" w:sz="4" w:space="0" w:color="auto"/>
            </w:tcBorders>
          </w:tcPr>
          <w:p w:rsidR="000F4996" w:rsidRPr="005204DB" w:rsidRDefault="000F4996" w:rsidP="000B6FB9">
            <w:pP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Workforce Readiness</w:t>
            </w:r>
          </w:p>
        </w:tc>
        <w:tc>
          <w:tcPr>
            <w:tcW w:w="3803" w:type="dxa"/>
            <w:tcBorders>
              <w:top w:val="single" w:sz="4" w:space="0" w:color="auto"/>
              <w:left w:val="single" w:sz="4" w:space="0" w:color="auto"/>
              <w:bottom w:val="single" w:sz="4" w:space="0" w:color="auto"/>
              <w:right w:val="single" w:sz="4" w:space="0" w:color="auto"/>
            </w:tcBorders>
          </w:tcPr>
          <w:p w:rsidR="000F4996" w:rsidRPr="005204DB" w:rsidRDefault="000F4996" w:rsidP="000B6FB9">
            <w:pPr>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1</w:t>
            </w:r>
          </w:p>
        </w:tc>
      </w:tr>
      <w:tr w:rsidR="000F4996" w:rsidRPr="005204DB" w:rsidTr="004140D8">
        <w:tc>
          <w:tcPr>
            <w:tcW w:w="52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0F4996" w:rsidRPr="005204DB" w:rsidRDefault="000F4996" w:rsidP="000B6FB9">
            <w:pPr>
              <w:jc w:val="center"/>
              <w:rPr>
                <w:rFonts w:ascii="Times New Roman" w:eastAsiaTheme="minorEastAsia" w:hAnsi="Times New Roman" w:cs="Times New Roman"/>
                <w:b/>
                <w:sz w:val="23"/>
                <w:szCs w:val="23"/>
              </w:rPr>
            </w:pPr>
            <w:r w:rsidRPr="005204DB">
              <w:rPr>
                <w:rFonts w:ascii="Times New Roman" w:eastAsiaTheme="minorEastAsia" w:hAnsi="Times New Roman" w:cs="Times New Roman"/>
                <w:b/>
                <w:sz w:val="23"/>
                <w:szCs w:val="23"/>
              </w:rPr>
              <w:t>TOTAL</w:t>
            </w:r>
          </w:p>
        </w:tc>
        <w:tc>
          <w:tcPr>
            <w:tcW w:w="380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0F4996" w:rsidRPr="005204DB" w:rsidRDefault="000F4996" w:rsidP="000B6FB9">
            <w:pPr>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57</w:t>
            </w:r>
          </w:p>
        </w:tc>
      </w:tr>
    </w:tbl>
    <w:p w:rsidR="00F939A7" w:rsidRPr="005204DB" w:rsidRDefault="00F939A7" w:rsidP="000B6FB9">
      <w:pPr>
        <w:pStyle w:val="ListParagraph"/>
        <w:spacing w:after="0" w:line="240" w:lineRule="auto"/>
        <w:ind w:left="360"/>
        <w:rPr>
          <w:rFonts w:ascii="Times New Roman" w:eastAsiaTheme="minorEastAsia" w:hAnsi="Times New Roman" w:cs="Times New Roman"/>
          <w:color w:val="000000" w:themeColor="text1"/>
          <w:sz w:val="23"/>
          <w:szCs w:val="23"/>
        </w:rPr>
      </w:pPr>
    </w:p>
    <w:p w:rsidR="00276EAC" w:rsidRPr="005204DB" w:rsidRDefault="00A5395D" w:rsidP="000B6FB9">
      <w:pPr>
        <w:pStyle w:val="ListParagraph"/>
        <w:numPr>
          <w:ilvl w:val="0"/>
          <w:numId w:val="12"/>
        </w:numPr>
        <w:spacing w:after="0" w:line="240" w:lineRule="auto"/>
        <w:rPr>
          <w:rFonts w:ascii="Times New Roman" w:eastAsiaTheme="minorEastAsia" w:hAnsi="Times New Roman" w:cs="Times New Roman"/>
          <w:color w:val="000000" w:themeColor="text1"/>
          <w:sz w:val="23"/>
          <w:szCs w:val="23"/>
        </w:rPr>
      </w:pPr>
      <w:r w:rsidRPr="005204DB">
        <w:rPr>
          <w:rFonts w:ascii="Times New Roman" w:eastAsiaTheme="minorEastAsia" w:hAnsi="Times New Roman" w:cs="Times New Roman"/>
          <w:i/>
          <w:color w:val="000000" w:themeColor="text1"/>
          <w:sz w:val="23"/>
          <w:szCs w:val="23"/>
        </w:rPr>
        <w:t>Provision of technical assistance to funded eligible providers as described in section 223 (1)(c).</w:t>
      </w:r>
      <w:r w:rsidR="00FC1005" w:rsidRPr="005204DB">
        <w:rPr>
          <w:rFonts w:ascii="Times New Roman" w:eastAsiaTheme="minorEastAsia" w:hAnsi="Times New Roman" w:cs="Times New Roman"/>
          <w:i/>
          <w:color w:val="000000" w:themeColor="text1"/>
          <w:sz w:val="23"/>
          <w:szCs w:val="23"/>
        </w:rPr>
        <w:t xml:space="preserve"> </w:t>
      </w:r>
    </w:p>
    <w:p w:rsidR="005F25B7" w:rsidRPr="005204DB" w:rsidRDefault="002A69B7" w:rsidP="000B6FB9">
      <w:pPr>
        <w:spacing w:after="0" w:line="240" w:lineRule="auto"/>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 xml:space="preserve">All programs </w:t>
      </w:r>
      <w:r w:rsidR="005F25B7" w:rsidRPr="005204DB">
        <w:rPr>
          <w:rFonts w:ascii="Times New Roman" w:eastAsiaTheme="minorEastAsia" w:hAnsi="Times New Roman" w:cs="Times New Roman"/>
          <w:sz w:val="23"/>
          <w:szCs w:val="23"/>
        </w:rPr>
        <w:t>are subject to monthly Desk Reviews</w:t>
      </w:r>
      <w:r w:rsidRPr="005204DB">
        <w:rPr>
          <w:rFonts w:ascii="Times New Roman" w:eastAsiaTheme="minorEastAsia" w:hAnsi="Times New Roman" w:cs="Times New Roman"/>
          <w:sz w:val="23"/>
          <w:szCs w:val="23"/>
        </w:rPr>
        <w:t xml:space="preserve"> where DESE AEL staff dive</w:t>
      </w:r>
      <w:r w:rsidR="005F25B7" w:rsidRPr="005204DB">
        <w:rPr>
          <w:rFonts w:ascii="Times New Roman" w:eastAsiaTheme="minorEastAsia" w:hAnsi="Times New Roman" w:cs="Times New Roman"/>
          <w:sz w:val="23"/>
          <w:szCs w:val="23"/>
        </w:rPr>
        <w:t xml:space="preserve"> into each local program’s d</w:t>
      </w:r>
      <w:r w:rsidRPr="005204DB">
        <w:rPr>
          <w:rFonts w:ascii="Times New Roman" w:eastAsiaTheme="minorEastAsia" w:hAnsi="Times New Roman" w:cs="Times New Roman"/>
          <w:sz w:val="23"/>
          <w:szCs w:val="23"/>
        </w:rPr>
        <w:t>ata to see areas of achievement</w:t>
      </w:r>
      <w:r w:rsidR="005F25B7" w:rsidRPr="005204DB">
        <w:rPr>
          <w:rFonts w:ascii="Times New Roman" w:eastAsiaTheme="minorEastAsia" w:hAnsi="Times New Roman" w:cs="Times New Roman"/>
          <w:sz w:val="23"/>
          <w:szCs w:val="23"/>
        </w:rPr>
        <w:t xml:space="preserve"> as well as areas of weakness</w:t>
      </w:r>
      <w:r w:rsidR="002567ED" w:rsidRPr="005204DB">
        <w:rPr>
          <w:rFonts w:ascii="Times New Roman" w:eastAsiaTheme="minorEastAsia" w:hAnsi="Times New Roman" w:cs="Times New Roman"/>
          <w:sz w:val="23"/>
          <w:szCs w:val="23"/>
        </w:rPr>
        <w:t xml:space="preserve"> or risk</w:t>
      </w:r>
      <w:r w:rsidR="00DE311B" w:rsidRPr="005204DB">
        <w:rPr>
          <w:rFonts w:ascii="Times New Roman" w:eastAsiaTheme="minorEastAsia" w:hAnsi="Times New Roman" w:cs="Times New Roman"/>
          <w:sz w:val="23"/>
          <w:szCs w:val="23"/>
        </w:rPr>
        <w:t>. The</w:t>
      </w:r>
      <w:r w:rsidR="005F25B7" w:rsidRPr="005204DB">
        <w:rPr>
          <w:rFonts w:ascii="Times New Roman" w:eastAsiaTheme="minorEastAsia" w:hAnsi="Times New Roman" w:cs="Times New Roman"/>
          <w:sz w:val="23"/>
          <w:szCs w:val="23"/>
        </w:rPr>
        <w:t xml:space="preserve"> Desk Reviews</w:t>
      </w:r>
      <w:r w:rsidR="00DE311B" w:rsidRPr="005204DB">
        <w:rPr>
          <w:rFonts w:ascii="Times New Roman" w:eastAsiaTheme="minorEastAsia" w:hAnsi="Times New Roman" w:cs="Times New Roman"/>
          <w:sz w:val="23"/>
          <w:szCs w:val="23"/>
        </w:rPr>
        <w:t xml:space="preserve"> allow for a discussion between DESE AEL staff on each program’s condition and </w:t>
      </w:r>
      <w:r w:rsidR="005F25B7" w:rsidRPr="005204DB">
        <w:rPr>
          <w:rFonts w:ascii="Times New Roman" w:eastAsiaTheme="minorEastAsia" w:hAnsi="Times New Roman" w:cs="Times New Roman"/>
          <w:sz w:val="23"/>
          <w:szCs w:val="23"/>
        </w:rPr>
        <w:t xml:space="preserve">offer an opportunity to provide </w:t>
      </w:r>
      <w:r w:rsidRPr="005204DB">
        <w:rPr>
          <w:rFonts w:ascii="Times New Roman" w:eastAsiaTheme="minorEastAsia" w:hAnsi="Times New Roman" w:cs="Times New Roman"/>
          <w:sz w:val="23"/>
          <w:szCs w:val="23"/>
        </w:rPr>
        <w:t xml:space="preserve">immediate </w:t>
      </w:r>
      <w:r w:rsidR="005F25B7" w:rsidRPr="005204DB">
        <w:rPr>
          <w:rFonts w:ascii="Times New Roman" w:eastAsiaTheme="minorEastAsia" w:hAnsi="Times New Roman" w:cs="Times New Roman"/>
          <w:sz w:val="23"/>
          <w:szCs w:val="23"/>
        </w:rPr>
        <w:t xml:space="preserve">technical assistance to those programs that are not meeting program targets and </w:t>
      </w:r>
      <w:r w:rsidR="005F25B7" w:rsidRPr="005204DB">
        <w:rPr>
          <w:rFonts w:ascii="Times New Roman" w:eastAsiaTheme="minorEastAsia" w:hAnsi="Times New Roman" w:cs="Times New Roman"/>
          <w:sz w:val="23"/>
          <w:szCs w:val="23"/>
        </w:rPr>
        <w:lastRenderedPageBreak/>
        <w:t>expectations. St</w:t>
      </w:r>
      <w:r w:rsidR="00DE311B" w:rsidRPr="005204DB">
        <w:rPr>
          <w:rFonts w:ascii="Times New Roman" w:eastAsiaTheme="minorEastAsia" w:hAnsi="Times New Roman" w:cs="Times New Roman"/>
          <w:sz w:val="23"/>
          <w:szCs w:val="23"/>
        </w:rPr>
        <w:t>ate staff routinely contact low-</w:t>
      </w:r>
      <w:r w:rsidR="005F25B7" w:rsidRPr="005204DB">
        <w:rPr>
          <w:rFonts w:ascii="Times New Roman" w:eastAsiaTheme="minorEastAsia" w:hAnsi="Times New Roman" w:cs="Times New Roman"/>
          <w:sz w:val="23"/>
          <w:szCs w:val="23"/>
        </w:rPr>
        <w:t xml:space="preserve">performing programs to offer guidance and support in any </w:t>
      </w:r>
      <w:r w:rsidR="008F780D" w:rsidRPr="005204DB">
        <w:rPr>
          <w:rFonts w:ascii="Times New Roman" w:eastAsiaTheme="minorEastAsia" w:hAnsi="Times New Roman" w:cs="Times New Roman"/>
          <w:sz w:val="23"/>
          <w:szCs w:val="23"/>
        </w:rPr>
        <w:t>vulnerable</w:t>
      </w:r>
      <w:r w:rsidR="005F25B7" w:rsidRPr="005204DB">
        <w:rPr>
          <w:rFonts w:ascii="Times New Roman" w:eastAsiaTheme="minorEastAsia" w:hAnsi="Times New Roman" w:cs="Times New Roman"/>
          <w:sz w:val="23"/>
          <w:szCs w:val="23"/>
        </w:rPr>
        <w:t xml:space="preserve"> areas such as academic gain, tes</w:t>
      </w:r>
      <w:r w:rsidR="00DE311B" w:rsidRPr="005204DB">
        <w:rPr>
          <w:rFonts w:ascii="Times New Roman" w:eastAsiaTheme="minorEastAsia" w:hAnsi="Times New Roman" w:cs="Times New Roman"/>
          <w:sz w:val="23"/>
          <w:szCs w:val="23"/>
        </w:rPr>
        <w:t>ting, number of students served</w:t>
      </w:r>
      <w:r w:rsidR="005F25B7" w:rsidRPr="005204DB">
        <w:rPr>
          <w:rFonts w:ascii="Times New Roman" w:eastAsiaTheme="minorEastAsia" w:hAnsi="Times New Roman" w:cs="Times New Roman"/>
          <w:sz w:val="23"/>
          <w:szCs w:val="23"/>
        </w:rPr>
        <w:t xml:space="preserve"> and cost per student. </w:t>
      </w:r>
    </w:p>
    <w:p w:rsidR="005F25B7" w:rsidRPr="005204DB" w:rsidRDefault="005F25B7" w:rsidP="000B6FB9">
      <w:pPr>
        <w:spacing w:after="0" w:line="240" w:lineRule="auto"/>
        <w:rPr>
          <w:rFonts w:ascii="Times New Roman" w:eastAsiaTheme="minorEastAsia" w:hAnsi="Times New Roman" w:cs="Times New Roman"/>
          <w:sz w:val="23"/>
          <w:szCs w:val="23"/>
        </w:rPr>
      </w:pPr>
    </w:p>
    <w:p w:rsidR="00276EAC" w:rsidRPr="005204DB" w:rsidRDefault="00276EAC" w:rsidP="000B6FB9">
      <w:pPr>
        <w:spacing w:after="0" w:line="240" w:lineRule="auto"/>
        <w:rPr>
          <w:rFonts w:ascii="Times New Roman" w:eastAsiaTheme="minorEastAsia" w:hAnsi="Times New Roman" w:cs="Times New Roman"/>
          <w:b/>
          <w:i/>
          <w:color w:val="000000" w:themeColor="text1"/>
          <w:sz w:val="23"/>
          <w:szCs w:val="23"/>
        </w:rPr>
      </w:pPr>
      <w:r w:rsidRPr="005204DB">
        <w:rPr>
          <w:rFonts w:ascii="Times New Roman" w:eastAsiaTheme="minorEastAsia" w:hAnsi="Times New Roman" w:cs="Times New Roman"/>
          <w:sz w:val="23"/>
          <w:szCs w:val="23"/>
        </w:rPr>
        <w:t xml:space="preserve">After </w:t>
      </w:r>
      <w:r w:rsidR="005707D1" w:rsidRPr="005204DB">
        <w:rPr>
          <w:rFonts w:ascii="Times New Roman" w:eastAsiaTheme="minorEastAsia" w:hAnsi="Times New Roman" w:cs="Times New Roman"/>
          <w:sz w:val="23"/>
          <w:szCs w:val="23"/>
        </w:rPr>
        <w:t>examining</w:t>
      </w:r>
      <w:r w:rsidRPr="005204DB">
        <w:rPr>
          <w:rFonts w:ascii="Times New Roman" w:eastAsiaTheme="minorEastAsia" w:hAnsi="Times New Roman" w:cs="Times New Roman"/>
          <w:sz w:val="23"/>
          <w:szCs w:val="23"/>
        </w:rPr>
        <w:t xml:space="preserve"> </w:t>
      </w:r>
      <w:r w:rsidR="005707D1" w:rsidRPr="005204DB">
        <w:rPr>
          <w:rFonts w:ascii="Times New Roman" w:eastAsiaTheme="minorEastAsia" w:hAnsi="Times New Roman" w:cs="Times New Roman"/>
          <w:sz w:val="23"/>
          <w:szCs w:val="23"/>
        </w:rPr>
        <w:t>FY20’s monthly</w:t>
      </w:r>
      <w:r w:rsidRPr="005204DB">
        <w:rPr>
          <w:rFonts w:ascii="Times New Roman" w:eastAsiaTheme="minorEastAsia" w:hAnsi="Times New Roman" w:cs="Times New Roman"/>
          <w:sz w:val="23"/>
          <w:szCs w:val="23"/>
        </w:rPr>
        <w:t xml:space="preserve"> Desk Review data, DESE staff made an on-site visit to one program that </w:t>
      </w:r>
      <w:r w:rsidR="005707D1" w:rsidRPr="005204DB">
        <w:rPr>
          <w:rFonts w:ascii="Times New Roman" w:eastAsiaTheme="minorEastAsia" w:hAnsi="Times New Roman" w:cs="Times New Roman"/>
          <w:sz w:val="23"/>
          <w:szCs w:val="23"/>
        </w:rPr>
        <w:t>displayed challenges</w:t>
      </w:r>
      <w:r w:rsidRPr="005204DB">
        <w:rPr>
          <w:rFonts w:ascii="Times New Roman" w:eastAsiaTheme="minorEastAsia" w:hAnsi="Times New Roman" w:cs="Times New Roman"/>
          <w:sz w:val="23"/>
          <w:szCs w:val="23"/>
        </w:rPr>
        <w:t xml:space="preserve"> with </w:t>
      </w:r>
      <w:r w:rsidR="005204DB" w:rsidRPr="005204DB">
        <w:rPr>
          <w:rFonts w:ascii="Times New Roman" w:eastAsiaTheme="minorEastAsia" w:hAnsi="Times New Roman" w:cs="Times New Roman"/>
          <w:sz w:val="23"/>
          <w:szCs w:val="23"/>
        </w:rPr>
        <w:t>enrollment, testing</w:t>
      </w:r>
      <w:r w:rsidR="00AC53DA">
        <w:rPr>
          <w:rFonts w:ascii="Times New Roman" w:eastAsiaTheme="minorEastAsia" w:hAnsi="Times New Roman" w:cs="Times New Roman"/>
          <w:sz w:val="23"/>
          <w:szCs w:val="23"/>
        </w:rPr>
        <w:t>,</w:t>
      </w:r>
      <w:r w:rsidRPr="005204DB">
        <w:rPr>
          <w:rFonts w:ascii="Times New Roman" w:eastAsiaTheme="minorEastAsia" w:hAnsi="Times New Roman" w:cs="Times New Roman"/>
          <w:sz w:val="23"/>
          <w:szCs w:val="23"/>
        </w:rPr>
        <w:t xml:space="preserve"> and </w:t>
      </w:r>
      <w:r w:rsidR="005707D1" w:rsidRPr="005204DB">
        <w:rPr>
          <w:rFonts w:ascii="Times New Roman" w:eastAsiaTheme="minorEastAsia" w:hAnsi="Times New Roman" w:cs="Times New Roman"/>
          <w:sz w:val="23"/>
          <w:szCs w:val="23"/>
        </w:rPr>
        <w:t>achieving</w:t>
      </w:r>
      <w:r w:rsidRPr="005204DB">
        <w:rPr>
          <w:rFonts w:ascii="Times New Roman" w:eastAsiaTheme="minorEastAsia" w:hAnsi="Times New Roman" w:cs="Times New Roman"/>
          <w:sz w:val="23"/>
          <w:szCs w:val="23"/>
        </w:rPr>
        <w:t xml:space="preserve"> academic gain.  During this visit, the staff visited</w:t>
      </w:r>
      <w:r w:rsidR="002567ED" w:rsidRPr="005204DB">
        <w:rPr>
          <w:rFonts w:ascii="Times New Roman" w:eastAsiaTheme="minorEastAsia" w:hAnsi="Times New Roman" w:cs="Times New Roman"/>
          <w:sz w:val="23"/>
          <w:szCs w:val="23"/>
        </w:rPr>
        <w:t xml:space="preserve"> teachers and students from low-</w:t>
      </w:r>
      <w:r w:rsidRPr="005204DB">
        <w:rPr>
          <w:rFonts w:ascii="Times New Roman" w:eastAsiaTheme="minorEastAsia" w:hAnsi="Times New Roman" w:cs="Times New Roman"/>
          <w:sz w:val="23"/>
          <w:szCs w:val="23"/>
        </w:rPr>
        <w:t>performing classrooms and offered suggestions. Finally, the staff reported to the local program director and made suggestions for improvement.</w:t>
      </w:r>
      <w:r w:rsidR="005204DB" w:rsidRPr="005204DB">
        <w:rPr>
          <w:rFonts w:ascii="Times New Roman" w:eastAsiaTheme="minorEastAsia" w:hAnsi="Times New Roman" w:cs="Times New Roman"/>
          <w:sz w:val="23"/>
          <w:szCs w:val="23"/>
        </w:rPr>
        <w:t xml:space="preserve"> In the month following the visit, EFL and MSG rates doubled and continued to climb through the end of the program year. In addition, </w:t>
      </w:r>
      <w:r w:rsidR="00F21DF3">
        <w:rPr>
          <w:rFonts w:ascii="Times New Roman" w:eastAsiaTheme="minorEastAsia" w:hAnsi="Times New Roman" w:cs="Times New Roman"/>
          <w:sz w:val="23"/>
          <w:szCs w:val="23"/>
        </w:rPr>
        <w:t xml:space="preserve">the </w:t>
      </w:r>
      <w:r w:rsidR="005204DB" w:rsidRPr="005204DB">
        <w:rPr>
          <w:rFonts w:ascii="Times New Roman" w:eastAsiaTheme="minorEastAsia" w:hAnsi="Times New Roman" w:cs="Times New Roman"/>
          <w:sz w:val="23"/>
          <w:szCs w:val="23"/>
        </w:rPr>
        <w:t>student persistence rate for those with 30+ instructional hours went from 34%-51% and also continued to grow for the entire year.</w:t>
      </w:r>
    </w:p>
    <w:p w:rsidR="00FC1005" w:rsidRPr="005204DB" w:rsidRDefault="00FC1005" w:rsidP="000B6FB9">
      <w:pPr>
        <w:spacing w:after="0" w:line="240" w:lineRule="auto"/>
        <w:rPr>
          <w:rFonts w:ascii="Times New Roman" w:eastAsiaTheme="minorEastAsia" w:hAnsi="Times New Roman" w:cs="Times New Roman"/>
          <w:sz w:val="23"/>
          <w:szCs w:val="23"/>
          <w:highlight w:val="yellow"/>
        </w:rPr>
      </w:pPr>
    </w:p>
    <w:p w:rsidR="00FD62B8" w:rsidRPr="005204DB" w:rsidRDefault="008F780D" w:rsidP="000B6FB9">
      <w:pPr>
        <w:spacing w:after="0" w:line="240" w:lineRule="auto"/>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DESE</w:t>
      </w:r>
      <w:r w:rsidR="00FD62B8" w:rsidRPr="005204DB">
        <w:rPr>
          <w:rFonts w:ascii="Times New Roman" w:eastAsiaTheme="minorEastAsia" w:hAnsi="Times New Roman" w:cs="Times New Roman"/>
          <w:sz w:val="23"/>
          <w:szCs w:val="23"/>
        </w:rPr>
        <w:t xml:space="preserve"> AEL staff provides technical assistance to AEL programs in several ways. Throu</w:t>
      </w:r>
      <w:r w:rsidRPr="005204DB">
        <w:rPr>
          <w:rFonts w:ascii="Times New Roman" w:eastAsiaTheme="minorEastAsia" w:hAnsi="Times New Roman" w:cs="Times New Roman"/>
          <w:sz w:val="23"/>
          <w:szCs w:val="23"/>
        </w:rPr>
        <w:t xml:space="preserve">gh the State AEL </w:t>
      </w:r>
      <w:r w:rsidR="00C23883">
        <w:rPr>
          <w:rFonts w:ascii="Times New Roman" w:eastAsiaTheme="minorEastAsia" w:hAnsi="Times New Roman" w:cs="Times New Roman"/>
          <w:sz w:val="23"/>
          <w:szCs w:val="23"/>
        </w:rPr>
        <w:t>section</w:t>
      </w:r>
      <w:r w:rsidRPr="005204DB">
        <w:rPr>
          <w:rFonts w:ascii="Times New Roman" w:eastAsiaTheme="minorEastAsia" w:hAnsi="Times New Roman" w:cs="Times New Roman"/>
          <w:sz w:val="23"/>
          <w:szCs w:val="23"/>
        </w:rPr>
        <w:t>, two Program</w:t>
      </w:r>
      <w:r w:rsidR="00FD62B8" w:rsidRPr="005204DB">
        <w:rPr>
          <w:rFonts w:ascii="Times New Roman" w:eastAsiaTheme="minorEastAsia" w:hAnsi="Times New Roman" w:cs="Times New Roman"/>
          <w:sz w:val="23"/>
          <w:szCs w:val="23"/>
        </w:rPr>
        <w:t xml:space="preserve"> Directors’ Meetings were </w:t>
      </w:r>
      <w:r w:rsidR="00FC1005" w:rsidRPr="005204DB">
        <w:rPr>
          <w:rFonts w:ascii="Times New Roman" w:eastAsiaTheme="minorEastAsia" w:hAnsi="Times New Roman" w:cs="Times New Roman"/>
          <w:sz w:val="23"/>
          <w:szCs w:val="23"/>
        </w:rPr>
        <w:t>scheduled</w:t>
      </w:r>
      <w:r w:rsidR="00FD62B8" w:rsidRPr="005204DB">
        <w:rPr>
          <w:rFonts w:ascii="Times New Roman" w:eastAsiaTheme="minorEastAsia" w:hAnsi="Times New Roman" w:cs="Times New Roman"/>
          <w:sz w:val="23"/>
          <w:szCs w:val="23"/>
        </w:rPr>
        <w:t xml:space="preserve"> </w:t>
      </w:r>
      <w:r w:rsidR="00FC1005" w:rsidRPr="005204DB">
        <w:rPr>
          <w:rFonts w:ascii="Times New Roman" w:eastAsiaTheme="minorEastAsia" w:hAnsi="Times New Roman" w:cs="Times New Roman"/>
          <w:sz w:val="23"/>
          <w:szCs w:val="23"/>
        </w:rPr>
        <w:t>for FY20</w:t>
      </w:r>
      <w:r w:rsidR="00FD62B8" w:rsidRPr="005204DB">
        <w:rPr>
          <w:rFonts w:ascii="Times New Roman" w:eastAsiaTheme="minorEastAsia" w:hAnsi="Times New Roman" w:cs="Times New Roman"/>
          <w:sz w:val="23"/>
          <w:szCs w:val="23"/>
        </w:rPr>
        <w:t xml:space="preserve">. The Directors’ meetings serve as a platform in which the State can provide information and technical assistance to directors </w:t>
      </w:r>
      <w:r w:rsidRPr="005204DB">
        <w:rPr>
          <w:rFonts w:ascii="Times New Roman" w:eastAsiaTheme="minorEastAsia" w:hAnsi="Times New Roman" w:cs="Times New Roman"/>
          <w:sz w:val="23"/>
          <w:szCs w:val="23"/>
        </w:rPr>
        <w:t>regarding policy updates, strategic planning, data issues</w:t>
      </w:r>
      <w:r w:rsidR="00FD62B8" w:rsidRPr="005204DB">
        <w:rPr>
          <w:rFonts w:ascii="Times New Roman" w:eastAsiaTheme="minorEastAsia" w:hAnsi="Times New Roman" w:cs="Times New Roman"/>
          <w:sz w:val="23"/>
          <w:szCs w:val="23"/>
        </w:rPr>
        <w:t xml:space="preserve"> and best practices. This information </w:t>
      </w:r>
      <w:r w:rsidRPr="005204DB">
        <w:rPr>
          <w:rFonts w:ascii="Times New Roman" w:eastAsiaTheme="minorEastAsia" w:hAnsi="Times New Roman" w:cs="Times New Roman"/>
          <w:sz w:val="23"/>
          <w:szCs w:val="23"/>
        </w:rPr>
        <w:t>enables</w:t>
      </w:r>
      <w:r w:rsidR="00FD62B8" w:rsidRPr="005204DB">
        <w:rPr>
          <w:rFonts w:ascii="Times New Roman" w:eastAsiaTheme="minorEastAsia" w:hAnsi="Times New Roman" w:cs="Times New Roman"/>
          <w:sz w:val="23"/>
          <w:szCs w:val="23"/>
        </w:rPr>
        <w:t xml:space="preserve"> the local programs to meet the State Plan outcome goals and </w:t>
      </w:r>
      <w:r w:rsidRPr="005204DB">
        <w:rPr>
          <w:rFonts w:ascii="Times New Roman" w:eastAsiaTheme="minorEastAsia" w:hAnsi="Times New Roman" w:cs="Times New Roman"/>
          <w:sz w:val="23"/>
          <w:szCs w:val="23"/>
        </w:rPr>
        <w:t>develop</w:t>
      </w:r>
      <w:r w:rsidR="00FD62B8" w:rsidRPr="005204DB">
        <w:rPr>
          <w:rFonts w:ascii="Times New Roman" w:eastAsiaTheme="minorEastAsia" w:hAnsi="Times New Roman" w:cs="Times New Roman"/>
          <w:sz w:val="23"/>
          <w:szCs w:val="23"/>
        </w:rPr>
        <w:t xml:space="preserve"> innovative strategies</w:t>
      </w:r>
      <w:r w:rsidR="00234D87" w:rsidRPr="005204DB">
        <w:rPr>
          <w:rFonts w:ascii="Times New Roman" w:eastAsiaTheme="minorEastAsia" w:hAnsi="Times New Roman" w:cs="Times New Roman"/>
          <w:sz w:val="23"/>
          <w:szCs w:val="23"/>
        </w:rPr>
        <w:t xml:space="preserve"> to better serve Missouri citizens</w:t>
      </w:r>
      <w:r w:rsidR="00FD62B8" w:rsidRPr="005204DB">
        <w:rPr>
          <w:rFonts w:ascii="Times New Roman" w:eastAsiaTheme="minorEastAsia" w:hAnsi="Times New Roman" w:cs="Times New Roman"/>
          <w:sz w:val="23"/>
          <w:szCs w:val="23"/>
        </w:rPr>
        <w:t>.</w:t>
      </w:r>
    </w:p>
    <w:p w:rsidR="00FD62B8" w:rsidRPr="005204DB" w:rsidRDefault="00FD62B8" w:rsidP="000B6FB9">
      <w:pPr>
        <w:spacing w:after="0" w:line="240" w:lineRule="auto"/>
        <w:rPr>
          <w:rFonts w:ascii="Times New Roman" w:eastAsiaTheme="minorEastAsia" w:hAnsi="Times New Roman" w:cs="Times New Roman"/>
          <w:sz w:val="23"/>
          <w:szCs w:val="23"/>
        </w:rPr>
      </w:pPr>
    </w:p>
    <w:p w:rsidR="00FD62B8" w:rsidRPr="005204DB" w:rsidRDefault="00FD62B8" w:rsidP="000B6FB9">
      <w:pPr>
        <w:spacing w:after="0" w:line="240" w:lineRule="auto"/>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The Fall AEL Directors’ Conference</w:t>
      </w:r>
      <w:r w:rsidR="00FC1005" w:rsidRPr="005204DB">
        <w:rPr>
          <w:rFonts w:ascii="Times New Roman" w:eastAsiaTheme="minorEastAsia" w:hAnsi="Times New Roman" w:cs="Times New Roman"/>
          <w:sz w:val="23"/>
          <w:szCs w:val="23"/>
        </w:rPr>
        <w:t xml:space="preserve"> was held on October 9-11</w:t>
      </w:r>
      <w:r w:rsidR="00522036" w:rsidRPr="005204DB">
        <w:rPr>
          <w:rFonts w:ascii="Times New Roman" w:eastAsiaTheme="minorEastAsia" w:hAnsi="Times New Roman" w:cs="Times New Roman"/>
          <w:sz w:val="23"/>
          <w:szCs w:val="23"/>
        </w:rPr>
        <w:t>, 2019</w:t>
      </w:r>
      <w:r w:rsidRPr="005204DB">
        <w:rPr>
          <w:rFonts w:ascii="Times New Roman" w:eastAsiaTheme="minorEastAsia" w:hAnsi="Times New Roman" w:cs="Times New Roman"/>
          <w:sz w:val="23"/>
          <w:szCs w:val="23"/>
        </w:rPr>
        <w:t xml:space="preserve"> in Osage Beach, Missouri</w:t>
      </w:r>
      <w:r w:rsidR="00FC1005" w:rsidRPr="005204DB">
        <w:rPr>
          <w:rFonts w:ascii="Times New Roman" w:eastAsiaTheme="minorEastAsia" w:hAnsi="Times New Roman" w:cs="Times New Roman"/>
          <w:sz w:val="23"/>
          <w:szCs w:val="23"/>
        </w:rPr>
        <w:t xml:space="preserve"> with 44 attendees</w:t>
      </w:r>
      <w:r w:rsidRPr="005204DB">
        <w:rPr>
          <w:rFonts w:ascii="Times New Roman" w:eastAsiaTheme="minorEastAsia" w:hAnsi="Times New Roman" w:cs="Times New Roman"/>
          <w:sz w:val="23"/>
          <w:szCs w:val="23"/>
        </w:rPr>
        <w:t>. Session topics included:</w:t>
      </w:r>
    </w:p>
    <w:p w:rsidR="008B3A92" w:rsidRPr="005204DB" w:rsidRDefault="00FC1005" w:rsidP="000B6FB9">
      <w:pPr>
        <w:numPr>
          <w:ilvl w:val="0"/>
          <w:numId w:val="15"/>
        </w:numPr>
        <w:spacing w:after="0" w:line="240" w:lineRule="auto"/>
        <w:contextualSpacing/>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The Missouri Fast Track Program (Missouri Department of Higher Education and Workforce Development</w:t>
      </w:r>
      <w:r w:rsidR="00634DE6" w:rsidRPr="005204DB">
        <w:rPr>
          <w:rFonts w:ascii="Times New Roman" w:eastAsiaTheme="minorEastAsia" w:hAnsi="Times New Roman" w:cs="Times New Roman"/>
          <w:sz w:val="23"/>
          <w:szCs w:val="23"/>
        </w:rPr>
        <w:t>’s program providing resources for post-secondary tuition</w:t>
      </w:r>
      <w:r w:rsidRPr="005204DB">
        <w:rPr>
          <w:rFonts w:ascii="Times New Roman" w:eastAsiaTheme="minorEastAsia" w:hAnsi="Times New Roman" w:cs="Times New Roman"/>
          <w:sz w:val="23"/>
          <w:szCs w:val="23"/>
        </w:rPr>
        <w:t>)</w:t>
      </w:r>
    </w:p>
    <w:p w:rsidR="00FC1005" w:rsidRPr="005204DB" w:rsidRDefault="00FC1005" w:rsidP="000B6FB9">
      <w:pPr>
        <w:numPr>
          <w:ilvl w:val="0"/>
          <w:numId w:val="15"/>
        </w:numPr>
        <w:spacing w:after="0" w:line="240" w:lineRule="auto"/>
        <w:contextualSpacing/>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Instruction Activities</w:t>
      </w:r>
    </w:p>
    <w:p w:rsidR="00FC1005" w:rsidRPr="005204DB" w:rsidRDefault="00FC1005" w:rsidP="000B6FB9">
      <w:pPr>
        <w:numPr>
          <w:ilvl w:val="0"/>
          <w:numId w:val="15"/>
        </w:numPr>
        <w:spacing w:after="0" w:line="240" w:lineRule="auto"/>
        <w:contextualSpacing/>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TABE 11/12</w:t>
      </w:r>
    </w:p>
    <w:p w:rsidR="00FC1005" w:rsidRPr="005204DB" w:rsidRDefault="00FC1005" w:rsidP="000B6FB9">
      <w:pPr>
        <w:numPr>
          <w:ilvl w:val="0"/>
          <w:numId w:val="15"/>
        </w:numPr>
        <w:spacing w:after="0" w:line="240" w:lineRule="auto"/>
        <w:contextualSpacing/>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IET/IELCE</w:t>
      </w:r>
    </w:p>
    <w:p w:rsidR="00FC1005" w:rsidRPr="005204DB" w:rsidRDefault="00FC1005" w:rsidP="000B6FB9">
      <w:pPr>
        <w:numPr>
          <w:ilvl w:val="0"/>
          <w:numId w:val="15"/>
        </w:numPr>
        <w:spacing w:after="0" w:line="240" w:lineRule="auto"/>
        <w:contextualSpacing/>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 xml:space="preserve">LACES Data Management System </w:t>
      </w:r>
      <w:r w:rsidR="00634DE6" w:rsidRPr="005204DB">
        <w:rPr>
          <w:rFonts w:ascii="Times New Roman" w:eastAsiaTheme="minorEastAsia" w:hAnsi="Times New Roman" w:cs="Times New Roman"/>
          <w:sz w:val="23"/>
          <w:szCs w:val="23"/>
        </w:rPr>
        <w:t>t</w:t>
      </w:r>
      <w:r w:rsidRPr="005204DB">
        <w:rPr>
          <w:rFonts w:ascii="Times New Roman" w:eastAsiaTheme="minorEastAsia" w:hAnsi="Times New Roman" w:cs="Times New Roman"/>
          <w:sz w:val="23"/>
          <w:szCs w:val="23"/>
        </w:rPr>
        <w:t>raining</w:t>
      </w:r>
    </w:p>
    <w:p w:rsidR="00FC1005" w:rsidRPr="005204DB" w:rsidRDefault="00634DE6" w:rsidP="000B6FB9">
      <w:pPr>
        <w:numPr>
          <w:ilvl w:val="0"/>
          <w:numId w:val="15"/>
        </w:numPr>
        <w:spacing w:after="0" w:line="240" w:lineRule="auto"/>
        <w:contextualSpacing/>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Professional Development u</w:t>
      </w:r>
      <w:r w:rsidR="00FC1005" w:rsidRPr="005204DB">
        <w:rPr>
          <w:rFonts w:ascii="Times New Roman" w:eastAsiaTheme="minorEastAsia" w:hAnsi="Times New Roman" w:cs="Times New Roman"/>
          <w:sz w:val="23"/>
          <w:szCs w:val="23"/>
        </w:rPr>
        <w:t>pdates</w:t>
      </w:r>
    </w:p>
    <w:p w:rsidR="00FC1005" w:rsidRPr="005204DB" w:rsidRDefault="00634DE6" w:rsidP="000B6FB9">
      <w:pPr>
        <w:numPr>
          <w:ilvl w:val="0"/>
          <w:numId w:val="15"/>
        </w:numPr>
        <w:spacing w:after="0" w:line="240" w:lineRule="auto"/>
        <w:contextualSpacing/>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Program m</w:t>
      </w:r>
      <w:r w:rsidR="00FC1005" w:rsidRPr="005204DB">
        <w:rPr>
          <w:rFonts w:ascii="Times New Roman" w:eastAsiaTheme="minorEastAsia" w:hAnsi="Times New Roman" w:cs="Times New Roman"/>
          <w:sz w:val="23"/>
          <w:szCs w:val="23"/>
        </w:rPr>
        <w:t>anagement</w:t>
      </w:r>
    </w:p>
    <w:p w:rsidR="0007104C" w:rsidRPr="005204DB" w:rsidRDefault="00146486" w:rsidP="0007104C">
      <w:pPr>
        <w:numPr>
          <w:ilvl w:val="0"/>
          <w:numId w:val="15"/>
        </w:numPr>
        <w:spacing w:after="0" w:line="240" w:lineRule="auto"/>
        <w:contextualSpacing/>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Using</w:t>
      </w:r>
      <w:r w:rsidR="0007104C" w:rsidRPr="005204DB">
        <w:rPr>
          <w:rFonts w:ascii="Times New Roman" w:eastAsiaTheme="minorEastAsia" w:hAnsi="Times New Roman" w:cs="Times New Roman"/>
          <w:sz w:val="23"/>
          <w:szCs w:val="23"/>
        </w:rPr>
        <w:t xml:space="preserve"> LACES reports to improve</w:t>
      </w:r>
      <w:r w:rsidR="00E745D6" w:rsidRPr="005204DB">
        <w:rPr>
          <w:rFonts w:ascii="Times New Roman" w:eastAsiaTheme="minorEastAsia" w:hAnsi="Times New Roman" w:cs="Times New Roman"/>
          <w:sz w:val="23"/>
          <w:szCs w:val="23"/>
        </w:rPr>
        <w:t xml:space="preserve"> program performance and</w:t>
      </w:r>
      <w:r w:rsidR="0007104C" w:rsidRPr="005204DB">
        <w:rPr>
          <w:rFonts w:ascii="Times New Roman" w:eastAsiaTheme="minorEastAsia" w:hAnsi="Times New Roman" w:cs="Times New Roman"/>
          <w:sz w:val="23"/>
          <w:szCs w:val="23"/>
        </w:rPr>
        <w:t xml:space="preserve"> instruction</w:t>
      </w:r>
    </w:p>
    <w:p w:rsidR="00FD62B8" w:rsidRPr="005204DB" w:rsidRDefault="00FD62B8" w:rsidP="000B6FB9">
      <w:pPr>
        <w:spacing w:after="0" w:line="240" w:lineRule="auto"/>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 xml:space="preserve">The Spring AEL Directors’ Conference </w:t>
      </w:r>
      <w:r w:rsidR="00FC1005" w:rsidRPr="005204DB">
        <w:rPr>
          <w:rFonts w:ascii="Times New Roman" w:eastAsiaTheme="minorEastAsia" w:hAnsi="Times New Roman" w:cs="Times New Roman"/>
          <w:sz w:val="23"/>
          <w:szCs w:val="23"/>
        </w:rPr>
        <w:t xml:space="preserve">was cancelled due to COVID-19. To supplement this missed opportunity for technical assistance, the DESE AEL </w:t>
      </w:r>
      <w:r w:rsidR="00C23883">
        <w:rPr>
          <w:rFonts w:ascii="Times New Roman" w:eastAsiaTheme="minorEastAsia" w:hAnsi="Times New Roman" w:cs="Times New Roman"/>
          <w:sz w:val="23"/>
          <w:szCs w:val="23"/>
        </w:rPr>
        <w:t>section disseminated</w:t>
      </w:r>
      <w:r w:rsidR="00FC1005" w:rsidRPr="005204DB">
        <w:rPr>
          <w:rFonts w:ascii="Times New Roman" w:eastAsiaTheme="minorEastAsia" w:hAnsi="Times New Roman" w:cs="Times New Roman"/>
          <w:sz w:val="23"/>
          <w:szCs w:val="23"/>
        </w:rPr>
        <w:t xml:space="preserve"> periodic guidance and policy updates to all programs to support the navigation of the changing environment. </w:t>
      </w:r>
      <w:r w:rsidR="00F939A7" w:rsidRPr="005204DB">
        <w:rPr>
          <w:rFonts w:ascii="Times New Roman" w:eastAsiaTheme="minorEastAsia" w:hAnsi="Times New Roman" w:cs="Times New Roman"/>
          <w:sz w:val="23"/>
          <w:szCs w:val="23"/>
        </w:rPr>
        <w:t xml:space="preserve">Further, a series of </w:t>
      </w:r>
      <w:r w:rsidR="0036068A" w:rsidRPr="005204DB">
        <w:rPr>
          <w:rFonts w:ascii="Times New Roman" w:eastAsiaTheme="minorEastAsia" w:hAnsi="Times New Roman" w:cs="Times New Roman"/>
          <w:sz w:val="23"/>
          <w:szCs w:val="23"/>
        </w:rPr>
        <w:t>virtual meetings</w:t>
      </w:r>
      <w:r w:rsidR="00F939A7" w:rsidRPr="005204DB">
        <w:rPr>
          <w:rFonts w:ascii="Times New Roman" w:eastAsiaTheme="minorEastAsia" w:hAnsi="Times New Roman" w:cs="Times New Roman"/>
          <w:sz w:val="23"/>
          <w:szCs w:val="23"/>
        </w:rPr>
        <w:t xml:space="preserve"> was held to provide </w:t>
      </w:r>
      <w:r w:rsidR="0036068A" w:rsidRPr="005204DB">
        <w:rPr>
          <w:rFonts w:ascii="Times New Roman" w:eastAsiaTheme="minorEastAsia" w:hAnsi="Times New Roman" w:cs="Times New Roman"/>
          <w:sz w:val="23"/>
          <w:szCs w:val="23"/>
        </w:rPr>
        <w:t>expanded</w:t>
      </w:r>
      <w:r w:rsidR="00F939A7" w:rsidRPr="005204DB">
        <w:rPr>
          <w:rFonts w:ascii="Times New Roman" w:eastAsiaTheme="minorEastAsia" w:hAnsi="Times New Roman" w:cs="Times New Roman"/>
          <w:sz w:val="23"/>
          <w:szCs w:val="23"/>
        </w:rPr>
        <w:t xml:space="preserve"> technical assistance to programs including:</w:t>
      </w:r>
    </w:p>
    <w:p w:rsidR="00F939A7" w:rsidRPr="005204DB" w:rsidRDefault="0036068A" w:rsidP="000B6FB9">
      <w:pPr>
        <w:numPr>
          <w:ilvl w:val="0"/>
          <w:numId w:val="15"/>
        </w:numPr>
        <w:spacing w:after="0" w:line="240" w:lineRule="auto"/>
        <w:contextualSpacing/>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On-Site monitoring r</w:t>
      </w:r>
      <w:r w:rsidR="00F939A7" w:rsidRPr="005204DB">
        <w:rPr>
          <w:rFonts w:ascii="Times New Roman" w:eastAsiaTheme="minorEastAsia" w:hAnsi="Times New Roman" w:cs="Times New Roman"/>
          <w:sz w:val="23"/>
          <w:szCs w:val="23"/>
        </w:rPr>
        <w:t>eviews</w:t>
      </w:r>
    </w:p>
    <w:p w:rsidR="00F939A7" w:rsidRPr="005204DB" w:rsidRDefault="00F939A7" w:rsidP="000B6FB9">
      <w:pPr>
        <w:numPr>
          <w:ilvl w:val="0"/>
          <w:numId w:val="15"/>
        </w:numPr>
        <w:spacing w:after="0" w:line="240" w:lineRule="auto"/>
        <w:contextualSpacing/>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Professional Devel</w:t>
      </w:r>
      <w:r w:rsidR="0036068A" w:rsidRPr="005204DB">
        <w:rPr>
          <w:rFonts w:ascii="Times New Roman" w:eastAsiaTheme="minorEastAsia" w:hAnsi="Times New Roman" w:cs="Times New Roman"/>
          <w:sz w:val="23"/>
          <w:szCs w:val="23"/>
        </w:rPr>
        <w:t>opment u</w:t>
      </w:r>
      <w:r w:rsidR="007D1D81" w:rsidRPr="005204DB">
        <w:rPr>
          <w:rFonts w:ascii="Times New Roman" w:eastAsiaTheme="minorEastAsia" w:hAnsi="Times New Roman" w:cs="Times New Roman"/>
          <w:sz w:val="23"/>
          <w:szCs w:val="23"/>
        </w:rPr>
        <w:t>pdates</w:t>
      </w:r>
    </w:p>
    <w:p w:rsidR="00F939A7" w:rsidRPr="005204DB" w:rsidRDefault="0036068A" w:rsidP="000B6FB9">
      <w:pPr>
        <w:numPr>
          <w:ilvl w:val="0"/>
          <w:numId w:val="15"/>
        </w:numPr>
        <w:spacing w:after="0" w:line="240" w:lineRule="auto"/>
        <w:contextualSpacing/>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Student records d</w:t>
      </w:r>
      <w:r w:rsidR="00F939A7" w:rsidRPr="005204DB">
        <w:rPr>
          <w:rFonts w:ascii="Times New Roman" w:eastAsiaTheme="minorEastAsia" w:hAnsi="Times New Roman" w:cs="Times New Roman"/>
          <w:sz w:val="23"/>
          <w:szCs w:val="23"/>
        </w:rPr>
        <w:t>ocumentation</w:t>
      </w:r>
    </w:p>
    <w:p w:rsidR="00F939A7" w:rsidRPr="005204DB" w:rsidRDefault="00F939A7" w:rsidP="000B6FB9">
      <w:pPr>
        <w:numPr>
          <w:ilvl w:val="0"/>
          <w:numId w:val="15"/>
        </w:numPr>
        <w:spacing w:after="0" w:line="240" w:lineRule="auto"/>
        <w:contextualSpacing/>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Paying teachers during the pandemic</w:t>
      </w:r>
    </w:p>
    <w:p w:rsidR="00F939A7" w:rsidRPr="005204DB" w:rsidRDefault="00F939A7" w:rsidP="000B6FB9">
      <w:pPr>
        <w:numPr>
          <w:ilvl w:val="0"/>
          <w:numId w:val="15"/>
        </w:numPr>
        <w:spacing w:after="0" w:line="240" w:lineRule="auto"/>
        <w:contextualSpacing/>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Documenting instruction hours</w:t>
      </w:r>
    </w:p>
    <w:p w:rsidR="00F939A7" w:rsidRPr="005204DB" w:rsidRDefault="00F939A7" w:rsidP="000B6FB9">
      <w:pPr>
        <w:numPr>
          <w:ilvl w:val="0"/>
          <w:numId w:val="15"/>
        </w:numPr>
        <w:spacing w:after="0" w:line="240" w:lineRule="auto"/>
        <w:contextualSpacing/>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Testing policy</w:t>
      </w:r>
    </w:p>
    <w:p w:rsidR="00F939A7" w:rsidRPr="005204DB" w:rsidRDefault="0036068A" w:rsidP="000B6FB9">
      <w:pPr>
        <w:numPr>
          <w:ilvl w:val="0"/>
          <w:numId w:val="15"/>
        </w:numPr>
        <w:spacing w:after="0" w:line="240" w:lineRule="auto"/>
        <w:contextualSpacing/>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DRC/LACES integration and useful r</w:t>
      </w:r>
      <w:r w:rsidR="00F939A7" w:rsidRPr="005204DB">
        <w:rPr>
          <w:rFonts w:ascii="Times New Roman" w:eastAsiaTheme="minorEastAsia" w:hAnsi="Times New Roman" w:cs="Times New Roman"/>
          <w:sz w:val="23"/>
          <w:szCs w:val="23"/>
        </w:rPr>
        <w:t>eports</w:t>
      </w:r>
    </w:p>
    <w:p w:rsidR="00F939A7" w:rsidRPr="005204DB" w:rsidRDefault="00F939A7" w:rsidP="000B6FB9">
      <w:pPr>
        <w:numPr>
          <w:ilvl w:val="0"/>
          <w:numId w:val="15"/>
        </w:numPr>
        <w:spacing w:after="0" w:line="240" w:lineRule="auto"/>
        <w:contextualSpacing/>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HSE</w:t>
      </w:r>
    </w:p>
    <w:p w:rsidR="006778E9" w:rsidRDefault="00F939A7" w:rsidP="00E745D6">
      <w:pPr>
        <w:numPr>
          <w:ilvl w:val="0"/>
          <w:numId w:val="15"/>
        </w:numPr>
        <w:spacing w:after="0" w:line="240" w:lineRule="auto"/>
        <w:contextualSpacing/>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Remote registration, orientation, instruction, assessment and recruitment</w:t>
      </w:r>
    </w:p>
    <w:p w:rsidR="005204DB" w:rsidRPr="005204DB" w:rsidRDefault="005204DB" w:rsidP="005204DB">
      <w:pPr>
        <w:spacing w:after="0" w:line="240" w:lineRule="auto"/>
        <w:ind w:left="1080"/>
        <w:contextualSpacing/>
        <w:rPr>
          <w:rFonts w:ascii="Times New Roman" w:eastAsiaTheme="minorEastAsia" w:hAnsi="Times New Roman" w:cs="Times New Roman"/>
          <w:sz w:val="23"/>
          <w:szCs w:val="23"/>
        </w:rPr>
      </w:pPr>
    </w:p>
    <w:p w:rsidR="000F4996" w:rsidRPr="005204DB" w:rsidRDefault="00A5395D" w:rsidP="000B6FB9">
      <w:pPr>
        <w:pStyle w:val="ListParagraph"/>
        <w:numPr>
          <w:ilvl w:val="0"/>
          <w:numId w:val="12"/>
        </w:numPr>
        <w:spacing w:after="0" w:line="240" w:lineRule="auto"/>
        <w:rPr>
          <w:rFonts w:ascii="Times New Roman" w:eastAsiaTheme="minorEastAsia" w:hAnsi="Times New Roman" w:cs="Times New Roman"/>
          <w:i/>
          <w:color w:val="000000" w:themeColor="text1"/>
          <w:sz w:val="23"/>
          <w:szCs w:val="23"/>
        </w:rPr>
      </w:pPr>
      <w:r w:rsidRPr="005204DB">
        <w:rPr>
          <w:rFonts w:ascii="Times New Roman" w:eastAsiaTheme="minorEastAsia" w:hAnsi="Times New Roman" w:cs="Times New Roman"/>
          <w:i/>
          <w:color w:val="000000" w:themeColor="text1"/>
          <w:sz w:val="23"/>
          <w:szCs w:val="23"/>
        </w:rPr>
        <w:t>Monitoring and evaluation of the quality and improvement of adult education activities as described in section 223(1)(d).</w:t>
      </w:r>
    </w:p>
    <w:p w:rsidR="000F4996" w:rsidRPr="005204DB" w:rsidRDefault="002A69B7" w:rsidP="000B6FB9">
      <w:pPr>
        <w:spacing w:after="0" w:line="240" w:lineRule="auto"/>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Program</w:t>
      </w:r>
      <w:r w:rsidR="00E05548">
        <w:rPr>
          <w:rFonts w:ascii="Times New Roman" w:eastAsiaTheme="minorEastAsia" w:hAnsi="Times New Roman" w:cs="Times New Roman"/>
          <w:sz w:val="23"/>
          <w:szCs w:val="23"/>
        </w:rPr>
        <w:t>s</w:t>
      </w:r>
      <w:r w:rsidRPr="005204DB">
        <w:rPr>
          <w:rFonts w:ascii="Times New Roman" w:eastAsiaTheme="minorEastAsia" w:hAnsi="Times New Roman" w:cs="Times New Roman"/>
          <w:sz w:val="23"/>
          <w:szCs w:val="23"/>
        </w:rPr>
        <w:t xml:space="preserve"> are divided into three cohorts to distribute on-site monitoring over the three year grant cycle. </w:t>
      </w:r>
      <w:r w:rsidR="000F4996" w:rsidRPr="005204DB">
        <w:rPr>
          <w:rFonts w:ascii="Times New Roman" w:eastAsiaTheme="minorEastAsia" w:hAnsi="Times New Roman" w:cs="Times New Roman"/>
          <w:sz w:val="23"/>
          <w:szCs w:val="23"/>
        </w:rPr>
        <w:t xml:space="preserve">For </w:t>
      </w:r>
      <w:r w:rsidR="009E37B0" w:rsidRPr="005204DB">
        <w:rPr>
          <w:rFonts w:ascii="Times New Roman" w:eastAsiaTheme="minorEastAsia" w:hAnsi="Times New Roman" w:cs="Times New Roman"/>
          <w:sz w:val="23"/>
          <w:szCs w:val="23"/>
        </w:rPr>
        <w:t>FY20</w:t>
      </w:r>
      <w:r w:rsidR="000F4996" w:rsidRPr="005204DB">
        <w:rPr>
          <w:rFonts w:ascii="Times New Roman" w:eastAsiaTheme="minorEastAsia" w:hAnsi="Times New Roman" w:cs="Times New Roman"/>
          <w:sz w:val="23"/>
          <w:szCs w:val="23"/>
        </w:rPr>
        <w:t>, the DESE team cond</w:t>
      </w:r>
      <w:r w:rsidR="004D2CB6" w:rsidRPr="005204DB">
        <w:rPr>
          <w:rFonts w:ascii="Times New Roman" w:eastAsiaTheme="minorEastAsia" w:hAnsi="Times New Roman" w:cs="Times New Roman"/>
          <w:sz w:val="23"/>
          <w:szCs w:val="23"/>
        </w:rPr>
        <w:t>ucted seven on-site monitoring v</w:t>
      </w:r>
      <w:r w:rsidR="000F4996" w:rsidRPr="005204DB">
        <w:rPr>
          <w:rFonts w:ascii="Times New Roman" w:eastAsiaTheme="minorEastAsia" w:hAnsi="Times New Roman" w:cs="Times New Roman"/>
          <w:sz w:val="23"/>
          <w:szCs w:val="23"/>
        </w:rPr>
        <w:t>i</w:t>
      </w:r>
      <w:r w:rsidR="000E6A6B" w:rsidRPr="005204DB">
        <w:rPr>
          <w:rFonts w:ascii="Times New Roman" w:eastAsiaTheme="minorEastAsia" w:hAnsi="Times New Roman" w:cs="Times New Roman"/>
          <w:sz w:val="23"/>
          <w:szCs w:val="23"/>
        </w:rPr>
        <w:t>sits from the designated cohort in addition to</w:t>
      </w:r>
      <w:r w:rsidR="000F4996" w:rsidRPr="005204DB">
        <w:rPr>
          <w:rFonts w:ascii="Times New Roman" w:eastAsiaTheme="minorEastAsia" w:hAnsi="Times New Roman" w:cs="Times New Roman"/>
          <w:sz w:val="23"/>
          <w:szCs w:val="23"/>
        </w:rPr>
        <w:t xml:space="preserve"> </w:t>
      </w:r>
      <w:r w:rsidR="002876CC">
        <w:rPr>
          <w:rFonts w:ascii="Times New Roman" w:eastAsiaTheme="minorEastAsia" w:hAnsi="Times New Roman" w:cs="Times New Roman"/>
          <w:sz w:val="23"/>
          <w:szCs w:val="23"/>
        </w:rPr>
        <w:t xml:space="preserve">the </w:t>
      </w:r>
      <w:r w:rsidR="000F4996" w:rsidRPr="005204DB">
        <w:rPr>
          <w:rFonts w:ascii="Times New Roman" w:eastAsiaTheme="minorEastAsia" w:hAnsi="Times New Roman" w:cs="Times New Roman"/>
          <w:sz w:val="23"/>
          <w:szCs w:val="23"/>
        </w:rPr>
        <w:t>one on-site technical visit. To determine which programs in the cohort woul</w:t>
      </w:r>
      <w:r w:rsidR="000E6A6B" w:rsidRPr="005204DB">
        <w:rPr>
          <w:rFonts w:ascii="Times New Roman" w:eastAsiaTheme="minorEastAsia" w:hAnsi="Times New Roman" w:cs="Times New Roman"/>
          <w:sz w:val="23"/>
          <w:szCs w:val="23"/>
        </w:rPr>
        <w:t xml:space="preserve">d </w:t>
      </w:r>
      <w:r w:rsidR="000E6A6B" w:rsidRPr="005204DB">
        <w:rPr>
          <w:rFonts w:ascii="Times New Roman" w:eastAsiaTheme="minorEastAsia" w:hAnsi="Times New Roman" w:cs="Times New Roman"/>
          <w:sz w:val="23"/>
          <w:szCs w:val="23"/>
        </w:rPr>
        <w:lastRenderedPageBreak/>
        <w:t>receive monitoring visits, a r</w:t>
      </w:r>
      <w:r w:rsidR="000F4996" w:rsidRPr="005204DB">
        <w:rPr>
          <w:rFonts w:ascii="Times New Roman" w:eastAsiaTheme="minorEastAsia" w:hAnsi="Times New Roman" w:cs="Times New Roman"/>
          <w:sz w:val="23"/>
          <w:szCs w:val="23"/>
        </w:rPr>
        <w:t xml:space="preserve">isk </w:t>
      </w:r>
      <w:r w:rsidR="000E6A6B" w:rsidRPr="005204DB">
        <w:rPr>
          <w:rFonts w:ascii="Times New Roman" w:eastAsiaTheme="minorEastAsia" w:hAnsi="Times New Roman" w:cs="Times New Roman"/>
          <w:sz w:val="23"/>
          <w:szCs w:val="23"/>
        </w:rPr>
        <w:t xml:space="preserve">assessment </w:t>
      </w:r>
      <w:r w:rsidR="000F4996" w:rsidRPr="005204DB">
        <w:rPr>
          <w:rFonts w:ascii="Times New Roman" w:eastAsiaTheme="minorEastAsia" w:hAnsi="Times New Roman" w:cs="Times New Roman"/>
          <w:sz w:val="23"/>
          <w:szCs w:val="23"/>
        </w:rPr>
        <w:t xml:space="preserve">was utilized </w:t>
      </w:r>
      <w:r w:rsidR="000E6A6B" w:rsidRPr="005204DB">
        <w:rPr>
          <w:rFonts w:ascii="Times New Roman" w:eastAsiaTheme="minorEastAsia" w:hAnsi="Times New Roman" w:cs="Times New Roman"/>
          <w:sz w:val="23"/>
          <w:szCs w:val="23"/>
        </w:rPr>
        <w:t>on the following</w:t>
      </w:r>
      <w:r w:rsidR="000F4996" w:rsidRPr="005204DB">
        <w:rPr>
          <w:rFonts w:ascii="Times New Roman" w:eastAsiaTheme="minorEastAsia" w:hAnsi="Times New Roman" w:cs="Times New Roman"/>
          <w:sz w:val="23"/>
          <w:szCs w:val="23"/>
        </w:rPr>
        <w:t xml:space="preserve">: </w:t>
      </w:r>
      <w:r w:rsidR="000E6A6B" w:rsidRPr="005204DB">
        <w:rPr>
          <w:rFonts w:ascii="Times New Roman" w:eastAsiaTheme="minorEastAsia" w:hAnsi="Times New Roman" w:cs="Times New Roman"/>
          <w:sz w:val="23"/>
          <w:szCs w:val="23"/>
        </w:rPr>
        <w:t>date of prior on-site monitoring visit</w:t>
      </w:r>
      <w:r w:rsidR="000F4996" w:rsidRPr="005204DB">
        <w:rPr>
          <w:rFonts w:ascii="Times New Roman" w:eastAsiaTheme="minorEastAsia" w:hAnsi="Times New Roman" w:cs="Times New Roman"/>
          <w:sz w:val="23"/>
          <w:szCs w:val="23"/>
        </w:rPr>
        <w:t xml:space="preserve">, </w:t>
      </w:r>
      <w:r w:rsidR="000E6A6B" w:rsidRPr="005204DB">
        <w:rPr>
          <w:rFonts w:ascii="Times New Roman" w:eastAsiaTheme="minorEastAsia" w:hAnsi="Times New Roman" w:cs="Times New Roman"/>
          <w:sz w:val="23"/>
          <w:szCs w:val="23"/>
        </w:rPr>
        <w:t>tenure of program director</w:t>
      </w:r>
      <w:r w:rsidR="000F4996" w:rsidRPr="005204DB">
        <w:rPr>
          <w:rFonts w:ascii="Times New Roman" w:eastAsiaTheme="minorEastAsia" w:hAnsi="Times New Roman" w:cs="Times New Roman"/>
          <w:sz w:val="23"/>
          <w:szCs w:val="23"/>
        </w:rPr>
        <w:t xml:space="preserve">, </w:t>
      </w:r>
      <w:r w:rsidR="000E6A6B" w:rsidRPr="005204DB">
        <w:rPr>
          <w:rFonts w:ascii="Times New Roman" w:eastAsiaTheme="minorEastAsia" w:hAnsi="Times New Roman" w:cs="Times New Roman"/>
          <w:sz w:val="23"/>
          <w:szCs w:val="23"/>
        </w:rPr>
        <w:t>cost per student ration</w:t>
      </w:r>
      <w:r w:rsidR="000F4996" w:rsidRPr="005204DB">
        <w:rPr>
          <w:rFonts w:ascii="Times New Roman" w:eastAsiaTheme="minorEastAsia" w:hAnsi="Times New Roman" w:cs="Times New Roman"/>
          <w:sz w:val="23"/>
          <w:szCs w:val="23"/>
        </w:rPr>
        <w:t xml:space="preserve"> and p</w:t>
      </w:r>
      <w:r w:rsidR="000E6A6B" w:rsidRPr="005204DB">
        <w:rPr>
          <w:rFonts w:ascii="Times New Roman" w:eastAsiaTheme="minorEastAsia" w:hAnsi="Times New Roman" w:cs="Times New Roman"/>
          <w:sz w:val="23"/>
          <w:szCs w:val="23"/>
        </w:rPr>
        <w:t>erformance outcomes.</w:t>
      </w:r>
    </w:p>
    <w:p w:rsidR="000F4996" w:rsidRPr="005204DB" w:rsidRDefault="000F4996" w:rsidP="000B6FB9">
      <w:pPr>
        <w:pStyle w:val="ListParagraph"/>
        <w:spacing w:after="0" w:line="240" w:lineRule="auto"/>
        <w:rPr>
          <w:rFonts w:ascii="Times New Roman" w:eastAsiaTheme="minorEastAsia" w:hAnsi="Times New Roman" w:cs="Times New Roman"/>
          <w:sz w:val="23"/>
          <w:szCs w:val="23"/>
        </w:rPr>
      </w:pPr>
    </w:p>
    <w:p w:rsidR="000F4996" w:rsidRPr="005204DB" w:rsidRDefault="000E6A6B" w:rsidP="000B6FB9">
      <w:pPr>
        <w:spacing w:after="0" w:line="240" w:lineRule="auto"/>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DESE AEL determines</w:t>
      </w:r>
      <w:r w:rsidR="000F4996" w:rsidRPr="005204DB">
        <w:rPr>
          <w:rFonts w:ascii="Times New Roman" w:eastAsiaTheme="minorEastAsia" w:hAnsi="Times New Roman" w:cs="Times New Roman"/>
          <w:sz w:val="23"/>
          <w:szCs w:val="23"/>
        </w:rPr>
        <w:t xml:space="preserve"> which program</w:t>
      </w:r>
      <w:r w:rsidRPr="005204DB">
        <w:rPr>
          <w:rFonts w:ascii="Times New Roman" w:eastAsiaTheme="minorEastAsia" w:hAnsi="Times New Roman" w:cs="Times New Roman"/>
          <w:sz w:val="23"/>
          <w:szCs w:val="23"/>
        </w:rPr>
        <w:t>s</w:t>
      </w:r>
      <w:r w:rsidR="000F4996" w:rsidRPr="005204DB">
        <w:rPr>
          <w:rFonts w:ascii="Times New Roman" w:eastAsiaTheme="minorEastAsia" w:hAnsi="Times New Roman" w:cs="Times New Roman"/>
          <w:sz w:val="23"/>
          <w:szCs w:val="23"/>
        </w:rPr>
        <w:t xml:space="preserve"> receive on-site reviews</w:t>
      </w:r>
      <w:r w:rsidRPr="005204DB">
        <w:rPr>
          <w:rFonts w:ascii="Times New Roman" w:eastAsiaTheme="minorEastAsia" w:hAnsi="Times New Roman" w:cs="Times New Roman"/>
          <w:sz w:val="23"/>
          <w:szCs w:val="23"/>
        </w:rPr>
        <w:t xml:space="preserve"> and analyze data identifying specific classrooms for observation </w:t>
      </w:r>
      <w:r w:rsidR="000F4996" w:rsidRPr="005204DB">
        <w:rPr>
          <w:rFonts w:ascii="Times New Roman" w:eastAsiaTheme="minorEastAsia" w:hAnsi="Times New Roman" w:cs="Times New Roman"/>
          <w:sz w:val="23"/>
          <w:szCs w:val="23"/>
        </w:rPr>
        <w:t xml:space="preserve">based on </w:t>
      </w:r>
      <w:r w:rsidRPr="005204DB">
        <w:rPr>
          <w:rFonts w:ascii="Times New Roman" w:eastAsiaTheme="minorEastAsia" w:hAnsi="Times New Roman" w:cs="Times New Roman"/>
          <w:sz w:val="23"/>
          <w:szCs w:val="23"/>
        </w:rPr>
        <w:t>performance, attendance</w:t>
      </w:r>
      <w:r w:rsidR="00DF2C33" w:rsidRPr="005204DB">
        <w:rPr>
          <w:rFonts w:ascii="Times New Roman" w:eastAsiaTheme="minorEastAsia" w:hAnsi="Times New Roman" w:cs="Times New Roman"/>
          <w:sz w:val="23"/>
          <w:szCs w:val="23"/>
        </w:rPr>
        <w:t xml:space="preserve"> and testing. During</w:t>
      </w:r>
      <w:r w:rsidR="000F4996" w:rsidRPr="005204DB">
        <w:rPr>
          <w:rFonts w:ascii="Times New Roman" w:eastAsiaTheme="minorEastAsia" w:hAnsi="Times New Roman" w:cs="Times New Roman"/>
          <w:sz w:val="23"/>
          <w:szCs w:val="23"/>
        </w:rPr>
        <w:t xml:space="preserve"> monitoring visit</w:t>
      </w:r>
      <w:r w:rsidR="00DF2C33" w:rsidRPr="005204DB">
        <w:rPr>
          <w:rFonts w:ascii="Times New Roman" w:eastAsiaTheme="minorEastAsia" w:hAnsi="Times New Roman" w:cs="Times New Roman"/>
          <w:sz w:val="23"/>
          <w:szCs w:val="23"/>
        </w:rPr>
        <w:t>s, the team looks at many areas</w:t>
      </w:r>
      <w:r w:rsidR="000F4996" w:rsidRPr="005204DB">
        <w:rPr>
          <w:rFonts w:ascii="Times New Roman" w:eastAsiaTheme="minorEastAsia" w:hAnsi="Times New Roman" w:cs="Times New Roman"/>
          <w:sz w:val="23"/>
          <w:szCs w:val="23"/>
        </w:rPr>
        <w:t xml:space="preserve"> including fiscal management, testing</w:t>
      </w:r>
      <w:r w:rsidR="00DF2C33" w:rsidRPr="005204DB">
        <w:rPr>
          <w:rFonts w:ascii="Times New Roman" w:eastAsiaTheme="minorEastAsia" w:hAnsi="Times New Roman" w:cs="Times New Roman"/>
          <w:sz w:val="23"/>
          <w:szCs w:val="23"/>
        </w:rPr>
        <w:t xml:space="preserve"> procedures, </w:t>
      </w:r>
      <w:r w:rsidR="000F4996" w:rsidRPr="005204DB">
        <w:rPr>
          <w:rFonts w:ascii="Times New Roman" w:eastAsiaTheme="minorEastAsia" w:hAnsi="Times New Roman" w:cs="Times New Roman"/>
          <w:sz w:val="23"/>
          <w:szCs w:val="23"/>
        </w:rPr>
        <w:t>security, instruction, certification a</w:t>
      </w:r>
      <w:r w:rsidR="00DF2C33" w:rsidRPr="005204DB">
        <w:rPr>
          <w:rFonts w:ascii="Times New Roman" w:eastAsiaTheme="minorEastAsia" w:hAnsi="Times New Roman" w:cs="Times New Roman"/>
          <w:sz w:val="23"/>
          <w:szCs w:val="23"/>
        </w:rPr>
        <w:t>nd professional development.  The team also visits identified</w:t>
      </w:r>
      <w:r w:rsidR="000F4996" w:rsidRPr="005204DB">
        <w:rPr>
          <w:rFonts w:ascii="Times New Roman" w:eastAsiaTheme="minorEastAsia" w:hAnsi="Times New Roman" w:cs="Times New Roman"/>
          <w:sz w:val="23"/>
          <w:szCs w:val="23"/>
        </w:rPr>
        <w:t xml:space="preserve"> class sites, </w:t>
      </w:r>
      <w:r w:rsidR="00DF2C33" w:rsidRPr="005204DB">
        <w:rPr>
          <w:rFonts w:ascii="Times New Roman" w:eastAsiaTheme="minorEastAsia" w:hAnsi="Times New Roman" w:cs="Times New Roman"/>
          <w:sz w:val="23"/>
          <w:szCs w:val="23"/>
        </w:rPr>
        <w:t xml:space="preserve">observes </w:t>
      </w:r>
      <w:r w:rsidR="000F4996" w:rsidRPr="005204DB">
        <w:rPr>
          <w:rFonts w:ascii="Times New Roman" w:eastAsiaTheme="minorEastAsia" w:hAnsi="Times New Roman" w:cs="Times New Roman"/>
          <w:sz w:val="23"/>
          <w:szCs w:val="23"/>
        </w:rPr>
        <w:t>teachers</w:t>
      </w:r>
      <w:r w:rsidR="00DF2C33" w:rsidRPr="005204DB">
        <w:rPr>
          <w:rFonts w:ascii="Times New Roman" w:eastAsiaTheme="minorEastAsia" w:hAnsi="Times New Roman" w:cs="Times New Roman"/>
          <w:sz w:val="23"/>
          <w:szCs w:val="23"/>
        </w:rPr>
        <w:t xml:space="preserve"> deliver classroom instruction and interviews</w:t>
      </w:r>
      <w:r w:rsidR="000F4996" w:rsidRPr="005204DB">
        <w:rPr>
          <w:rFonts w:ascii="Times New Roman" w:eastAsiaTheme="minorEastAsia" w:hAnsi="Times New Roman" w:cs="Times New Roman"/>
          <w:sz w:val="23"/>
          <w:szCs w:val="23"/>
        </w:rPr>
        <w:t xml:space="preserve"> as many teachers and students as possible. </w:t>
      </w:r>
    </w:p>
    <w:p w:rsidR="000F4996" w:rsidRPr="005204DB" w:rsidRDefault="000F4996" w:rsidP="000B6FB9">
      <w:pPr>
        <w:pStyle w:val="ListParagraph"/>
        <w:spacing w:after="0" w:line="240" w:lineRule="auto"/>
        <w:rPr>
          <w:rFonts w:ascii="Times New Roman" w:eastAsiaTheme="minorEastAsia" w:hAnsi="Times New Roman" w:cs="Times New Roman"/>
          <w:sz w:val="23"/>
          <w:szCs w:val="23"/>
        </w:rPr>
      </w:pPr>
    </w:p>
    <w:p w:rsidR="000F4996" w:rsidRPr="005204DB" w:rsidRDefault="00CB3D4D" w:rsidP="000B6FB9">
      <w:pPr>
        <w:spacing w:after="0" w:line="240" w:lineRule="auto"/>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Upon conclusion of obtaining</w:t>
      </w:r>
      <w:r w:rsidR="000F4996" w:rsidRPr="005204DB">
        <w:rPr>
          <w:rFonts w:ascii="Times New Roman" w:eastAsiaTheme="minorEastAsia" w:hAnsi="Times New Roman" w:cs="Times New Roman"/>
          <w:sz w:val="23"/>
          <w:szCs w:val="23"/>
        </w:rPr>
        <w:t xml:space="preserve"> all needed information, </w:t>
      </w:r>
      <w:r w:rsidRPr="005204DB">
        <w:rPr>
          <w:rFonts w:ascii="Times New Roman" w:eastAsiaTheme="minorEastAsia" w:hAnsi="Times New Roman" w:cs="Times New Roman"/>
          <w:sz w:val="23"/>
          <w:szCs w:val="23"/>
        </w:rPr>
        <w:t>the on-site review team holds an</w:t>
      </w:r>
      <w:r w:rsidR="00DF2C33" w:rsidRPr="005204DB">
        <w:rPr>
          <w:rFonts w:ascii="Times New Roman" w:eastAsiaTheme="minorEastAsia" w:hAnsi="Times New Roman" w:cs="Times New Roman"/>
          <w:sz w:val="23"/>
          <w:szCs w:val="23"/>
        </w:rPr>
        <w:t xml:space="preserve"> exit conference </w:t>
      </w:r>
      <w:r w:rsidR="000F4996" w:rsidRPr="005204DB">
        <w:rPr>
          <w:rFonts w:ascii="Times New Roman" w:eastAsiaTheme="minorEastAsia" w:hAnsi="Times New Roman" w:cs="Times New Roman"/>
          <w:sz w:val="23"/>
          <w:szCs w:val="23"/>
        </w:rPr>
        <w:t xml:space="preserve">with the local AEL program director and </w:t>
      </w:r>
      <w:r w:rsidR="00DF2C33" w:rsidRPr="005204DB">
        <w:rPr>
          <w:rFonts w:ascii="Times New Roman" w:eastAsiaTheme="minorEastAsia" w:hAnsi="Times New Roman" w:cs="Times New Roman"/>
          <w:sz w:val="23"/>
          <w:szCs w:val="23"/>
        </w:rPr>
        <w:t>their</w:t>
      </w:r>
      <w:r w:rsidR="000F4996" w:rsidRPr="005204DB">
        <w:rPr>
          <w:rFonts w:ascii="Times New Roman" w:eastAsiaTheme="minorEastAsia" w:hAnsi="Times New Roman" w:cs="Times New Roman"/>
          <w:sz w:val="23"/>
          <w:szCs w:val="23"/>
        </w:rPr>
        <w:t xml:space="preserve"> supervisor.  During this </w:t>
      </w:r>
      <w:r w:rsidR="00DF2C33" w:rsidRPr="005204DB">
        <w:rPr>
          <w:rFonts w:ascii="Times New Roman" w:eastAsiaTheme="minorEastAsia" w:hAnsi="Times New Roman" w:cs="Times New Roman"/>
          <w:sz w:val="23"/>
          <w:szCs w:val="23"/>
        </w:rPr>
        <w:t>meeting, the DESE team discusses capitalizing on</w:t>
      </w:r>
      <w:r w:rsidR="000F4996" w:rsidRPr="005204DB">
        <w:rPr>
          <w:rFonts w:ascii="Times New Roman" w:eastAsiaTheme="minorEastAsia" w:hAnsi="Times New Roman" w:cs="Times New Roman"/>
          <w:sz w:val="23"/>
          <w:szCs w:val="23"/>
        </w:rPr>
        <w:t xml:space="preserve"> areas of strength found within the program</w:t>
      </w:r>
      <w:r w:rsidR="00DF2C33" w:rsidRPr="005204DB">
        <w:rPr>
          <w:rFonts w:ascii="Times New Roman" w:eastAsiaTheme="minorEastAsia" w:hAnsi="Times New Roman" w:cs="Times New Roman"/>
          <w:sz w:val="23"/>
          <w:szCs w:val="23"/>
        </w:rPr>
        <w:t xml:space="preserve"> and offers suggestions on areas of weakness and risk. Following each on</w:t>
      </w:r>
      <w:r w:rsidR="000F4996" w:rsidRPr="005204DB">
        <w:rPr>
          <w:rFonts w:ascii="Times New Roman" w:eastAsiaTheme="minorEastAsia" w:hAnsi="Times New Roman" w:cs="Times New Roman"/>
          <w:sz w:val="23"/>
          <w:szCs w:val="23"/>
        </w:rPr>
        <w:t xml:space="preserve">-site </w:t>
      </w:r>
      <w:r w:rsidR="00DF2C33" w:rsidRPr="005204DB">
        <w:rPr>
          <w:rFonts w:ascii="Times New Roman" w:eastAsiaTheme="minorEastAsia" w:hAnsi="Times New Roman" w:cs="Times New Roman"/>
          <w:sz w:val="23"/>
          <w:szCs w:val="23"/>
        </w:rPr>
        <w:t>visit</w:t>
      </w:r>
      <w:r w:rsidR="000F4996" w:rsidRPr="005204DB">
        <w:rPr>
          <w:rFonts w:ascii="Times New Roman" w:eastAsiaTheme="minorEastAsia" w:hAnsi="Times New Roman" w:cs="Times New Roman"/>
          <w:sz w:val="23"/>
          <w:szCs w:val="23"/>
        </w:rPr>
        <w:t xml:space="preserve">, a report </w:t>
      </w:r>
      <w:r w:rsidR="00DF2C33" w:rsidRPr="005204DB">
        <w:rPr>
          <w:rFonts w:ascii="Times New Roman" w:eastAsiaTheme="minorEastAsia" w:hAnsi="Times New Roman" w:cs="Times New Roman"/>
          <w:sz w:val="23"/>
          <w:szCs w:val="23"/>
        </w:rPr>
        <w:t xml:space="preserve">is issued </w:t>
      </w:r>
      <w:r w:rsidR="000F4996" w:rsidRPr="005204DB">
        <w:rPr>
          <w:rFonts w:ascii="Times New Roman" w:eastAsiaTheme="minorEastAsia" w:hAnsi="Times New Roman" w:cs="Times New Roman"/>
          <w:sz w:val="23"/>
          <w:szCs w:val="23"/>
        </w:rPr>
        <w:t>to the local AEL program</w:t>
      </w:r>
      <w:r w:rsidR="00DF2C33" w:rsidRPr="005204DB">
        <w:rPr>
          <w:rFonts w:ascii="Times New Roman" w:eastAsiaTheme="minorEastAsia" w:hAnsi="Times New Roman" w:cs="Times New Roman"/>
          <w:sz w:val="23"/>
          <w:szCs w:val="23"/>
        </w:rPr>
        <w:t xml:space="preserve"> including</w:t>
      </w:r>
      <w:r w:rsidR="000F4996" w:rsidRPr="005204DB">
        <w:rPr>
          <w:rFonts w:ascii="Times New Roman" w:eastAsiaTheme="minorEastAsia" w:hAnsi="Times New Roman" w:cs="Times New Roman"/>
          <w:sz w:val="23"/>
          <w:szCs w:val="23"/>
        </w:rPr>
        <w:t xml:space="preserve"> a summary of the review.  </w:t>
      </w:r>
      <w:r w:rsidR="00DF2C33" w:rsidRPr="005204DB">
        <w:rPr>
          <w:rFonts w:ascii="Times New Roman" w:eastAsiaTheme="minorEastAsia" w:hAnsi="Times New Roman" w:cs="Times New Roman"/>
          <w:sz w:val="23"/>
          <w:szCs w:val="23"/>
        </w:rPr>
        <w:t>Any material findings or areas of risk must be addressed by the local program in a formal corrective action/improvement plan submitted to DESE AEL.</w:t>
      </w:r>
    </w:p>
    <w:p w:rsidR="008E08D5" w:rsidRPr="005204DB" w:rsidRDefault="008E08D5" w:rsidP="000B6FB9">
      <w:pPr>
        <w:spacing w:after="0" w:line="240" w:lineRule="auto"/>
        <w:rPr>
          <w:rFonts w:ascii="Times New Roman" w:eastAsiaTheme="minorEastAsia" w:hAnsi="Times New Roman" w:cs="Times New Roman"/>
          <w:sz w:val="23"/>
          <w:szCs w:val="23"/>
        </w:rPr>
      </w:pPr>
    </w:p>
    <w:p w:rsidR="008E08D5" w:rsidRPr="005204DB" w:rsidRDefault="008E08D5" w:rsidP="000B6FB9">
      <w:pPr>
        <w:numPr>
          <w:ilvl w:val="0"/>
          <w:numId w:val="2"/>
        </w:numPr>
        <w:spacing w:after="0" w:line="240" w:lineRule="auto"/>
        <w:ind w:left="360"/>
        <w:contextualSpacing/>
        <w:rPr>
          <w:rFonts w:ascii="Times New Roman" w:eastAsiaTheme="minorEastAsia" w:hAnsi="Times New Roman" w:cs="Times New Roman"/>
          <w:b/>
          <w:i/>
          <w:color w:val="000000" w:themeColor="text1"/>
          <w:sz w:val="23"/>
          <w:szCs w:val="23"/>
        </w:rPr>
      </w:pPr>
      <w:r w:rsidRPr="005204DB">
        <w:rPr>
          <w:rFonts w:ascii="Times New Roman" w:eastAsiaTheme="minorEastAsia" w:hAnsi="Times New Roman" w:cs="Times New Roman"/>
          <w:b/>
          <w:i/>
          <w:color w:val="000000" w:themeColor="text1"/>
          <w:sz w:val="23"/>
          <w:szCs w:val="23"/>
        </w:rPr>
        <w:t>As applicable, describe how the State has used funds for additional permissible activities described in section 223(a)(2).</w:t>
      </w:r>
    </w:p>
    <w:p w:rsidR="008E08D5" w:rsidRPr="005204DB" w:rsidRDefault="008E08D5" w:rsidP="000B6FB9">
      <w:pPr>
        <w:spacing w:after="0" w:line="240" w:lineRule="auto"/>
        <w:contextualSpacing/>
        <w:rPr>
          <w:rFonts w:ascii="Times New Roman" w:eastAsiaTheme="minorEastAsia" w:hAnsi="Times New Roman" w:cs="Times New Roman"/>
          <w:color w:val="000000" w:themeColor="text1"/>
          <w:sz w:val="23"/>
          <w:szCs w:val="23"/>
        </w:rPr>
      </w:pPr>
      <w:r w:rsidRPr="005204DB">
        <w:rPr>
          <w:rFonts w:ascii="Times New Roman" w:eastAsiaTheme="minorEastAsia" w:hAnsi="Times New Roman" w:cs="Times New Roman"/>
          <w:color w:val="000000" w:themeColor="text1"/>
          <w:sz w:val="23"/>
          <w:szCs w:val="23"/>
        </w:rPr>
        <w:t>State Leadership Funds were used to fill a significant technology gap when the need for virtual learning became a priority for all programs in FY20 with the arrival of the pandemic. DESE AEL was able to provide bonus funding for programs to purchase hot-spots that allowed for wireless internet access</w:t>
      </w:r>
      <w:r w:rsidR="00F96188" w:rsidRPr="005204DB">
        <w:rPr>
          <w:rFonts w:ascii="Times New Roman" w:eastAsiaTheme="minorEastAsia" w:hAnsi="Times New Roman" w:cs="Times New Roman"/>
          <w:color w:val="000000" w:themeColor="text1"/>
          <w:sz w:val="23"/>
          <w:szCs w:val="23"/>
        </w:rPr>
        <w:t xml:space="preserve"> to programs and participants that otherwise would not have been able to continue teaching and learning. Overcoming this technology barrier allowed many of our programs to function and serve adults when they needed it most.</w:t>
      </w:r>
      <w:r w:rsidR="00946641" w:rsidRPr="005204DB">
        <w:rPr>
          <w:rFonts w:ascii="Times New Roman" w:eastAsiaTheme="minorEastAsia" w:hAnsi="Times New Roman" w:cs="Times New Roman"/>
          <w:color w:val="000000" w:themeColor="text1"/>
          <w:sz w:val="23"/>
          <w:szCs w:val="23"/>
        </w:rPr>
        <w:t xml:space="preserve"> DESE AEL staff also offered technical assistance to programs that needed aid implementing this technology and tracking the expenses/inventory to ensure compliance.</w:t>
      </w:r>
    </w:p>
    <w:p w:rsidR="00F96188" w:rsidRPr="005204DB" w:rsidRDefault="00F96188" w:rsidP="000B6FB9">
      <w:pPr>
        <w:spacing w:after="0" w:line="240" w:lineRule="auto"/>
        <w:contextualSpacing/>
        <w:rPr>
          <w:rFonts w:ascii="Times New Roman" w:eastAsiaTheme="minorEastAsia" w:hAnsi="Times New Roman" w:cs="Times New Roman"/>
          <w:color w:val="000000" w:themeColor="text1"/>
          <w:sz w:val="23"/>
          <w:szCs w:val="23"/>
        </w:rPr>
      </w:pPr>
    </w:p>
    <w:p w:rsidR="00A14E8B" w:rsidRPr="005204DB" w:rsidRDefault="008E08D5" w:rsidP="000B6FB9">
      <w:pPr>
        <w:spacing w:after="200" w:line="240" w:lineRule="auto"/>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 xml:space="preserve">In FY20, with the closure and reduction of many on-site classrooms, the investment of State Leadership Funds in distance learning was more important than ever. </w:t>
      </w:r>
      <w:r w:rsidR="00A14E8B" w:rsidRPr="005204DB">
        <w:rPr>
          <w:rFonts w:ascii="Times New Roman" w:eastAsiaTheme="minorEastAsia" w:hAnsi="Times New Roman" w:cs="Times New Roman"/>
          <w:sz w:val="23"/>
          <w:szCs w:val="23"/>
        </w:rPr>
        <w:t xml:space="preserve">The MOLearns program </w:t>
      </w:r>
      <w:r w:rsidR="00266981" w:rsidRPr="005204DB">
        <w:rPr>
          <w:rFonts w:ascii="Times New Roman" w:eastAsiaTheme="minorEastAsia" w:hAnsi="Times New Roman" w:cs="Times New Roman"/>
          <w:sz w:val="23"/>
          <w:szCs w:val="23"/>
        </w:rPr>
        <w:t>was funded by</w:t>
      </w:r>
      <w:r w:rsidR="00A14E8B" w:rsidRPr="005204DB">
        <w:rPr>
          <w:rFonts w:ascii="Times New Roman" w:eastAsiaTheme="minorEastAsia" w:hAnsi="Times New Roman" w:cs="Times New Roman"/>
          <w:sz w:val="23"/>
          <w:szCs w:val="23"/>
        </w:rPr>
        <w:t xml:space="preserve"> </w:t>
      </w:r>
      <w:r w:rsidRPr="005204DB">
        <w:rPr>
          <w:rFonts w:ascii="Times New Roman" w:eastAsiaTheme="minorEastAsia" w:hAnsi="Times New Roman" w:cs="Times New Roman"/>
          <w:sz w:val="23"/>
          <w:szCs w:val="23"/>
        </w:rPr>
        <w:t>State Leadership Funds</w:t>
      </w:r>
      <w:r w:rsidR="00A14E8B" w:rsidRPr="005204DB">
        <w:rPr>
          <w:rFonts w:ascii="Times New Roman" w:eastAsiaTheme="minorEastAsia" w:hAnsi="Times New Roman" w:cs="Times New Roman"/>
          <w:sz w:val="23"/>
          <w:szCs w:val="23"/>
        </w:rPr>
        <w:t xml:space="preserve"> and continues to be a valuable instructional option for Missouri adult learners. MOLearns is Missouri’s distance learning product available to students who cannot attend a traditional class or as supplement</w:t>
      </w:r>
      <w:r w:rsidR="004B0EF7" w:rsidRPr="005204DB">
        <w:rPr>
          <w:rFonts w:ascii="Times New Roman" w:eastAsiaTheme="minorEastAsia" w:hAnsi="Times New Roman" w:cs="Times New Roman"/>
          <w:sz w:val="23"/>
          <w:szCs w:val="23"/>
        </w:rPr>
        <w:t>al</w:t>
      </w:r>
      <w:r w:rsidR="00A14E8B" w:rsidRPr="005204DB">
        <w:rPr>
          <w:rFonts w:ascii="Times New Roman" w:eastAsiaTheme="minorEastAsia" w:hAnsi="Times New Roman" w:cs="Times New Roman"/>
          <w:sz w:val="23"/>
          <w:szCs w:val="23"/>
        </w:rPr>
        <w:t xml:space="preserve"> instruction for “hybrid” students in local progr</w:t>
      </w:r>
      <w:r w:rsidR="00266981" w:rsidRPr="005204DB">
        <w:rPr>
          <w:rFonts w:ascii="Times New Roman" w:eastAsiaTheme="minorEastAsia" w:hAnsi="Times New Roman" w:cs="Times New Roman"/>
          <w:sz w:val="23"/>
          <w:szCs w:val="23"/>
        </w:rPr>
        <w:t>am</w:t>
      </w:r>
      <w:r w:rsidR="004B0EF7" w:rsidRPr="005204DB">
        <w:rPr>
          <w:rFonts w:ascii="Times New Roman" w:eastAsiaTheme="minorEastAsia" w:hAnsi="Times New Roman" w:cs="Times New Roman"/>
          <w:sz w:val="23"/>
          <w:szCs w:val="23"/>
        </w:rPr>
        <w:t>s’</w:t>
      </w:r>
      <w:r w:rsidR="00266981" w:rsidRPr="005204DB">
        <w:rPr>
          <w:rFonts w:ascii="Times New Roman" w:eastAsiaTheme="minorEastAsia" w:hAnsi="Times New Roman" w:cs="Times New Roman"/>
          <w:sz w:val="23"/>
          <w:szCs w:val="23"/>
        </w:rPr>
        <w:t xml:space="preserve"> </w:t>
      </w:r>
      <w:r w:rsidR="00A14E8B" w:rsidRPr="005204DB">
        <w:rPr>
          <w:rFonts w:ascii="Times New Roman" w:eastAsiaTheme="minorEastAsia" w:hAnsi="Times New Roman" w:cs="Times New Roman"/>
          <w:sz w:val="23"/>
          <w:szCs w:val="23"/>
        </w:rPr>
        <w:t xml:space="preserve">face-to-face classes. </w:t>
      </w:r>
    </w:p>
    <w:p w:rsidR="00A14E8B" w:rsidRPr="005204DB" w:rsidRDefault="008E08D5" w:rsidP="000B6FB9">
      <w:pPr>
        <w:spacing w:after="200" w:line="240" w:lineRule="auto"/>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 xml:space="preserve">In </w:t>
      </w:r>
      <w:r w:rsidR="00CF4B46" w:rsidRPr="005204DB">
        <w:rPr>
          <w:rFonts w:ascii="Times New Roman" w:eastAsiaTheme="minorEastAsia" w:hAnsi="Times New Roman" w:cs="Times New Roman"/>
          <w:sz w:val="23"/>
          <w:szCs w:val="23"/>
        </w:rPr>
        <w:t>FY20</w:t>
      </w:r>
      <w:r w:rsidRPr="005204DB">
        <w:rPr>
          <w:rFonts w:ascii="Times New Roman" w:eastAsiaTheme="minorEastAsia" w:hAnsi="Times New Roman" w:cs="Times New Roman"/>
          <w:sz w:val="23"/>
          <w:szCs w:val="23"/>
        </w:rPr>
        <w:t xml:space="preserve">, 816 students enrolled in the MOLearns program.  To enroll, a student completes an online screening procedure and then takes the TABE test at a local AEL class site.  Students are then assigned an online teacher and given access to the classroom to work on their assignments.  Those students accrued 56,457 learning hours in the online classroom.  During </w:t>
      </w:r>
      <w:r w:rsidR="00CF4B46" w:rsidRPr="005204DB">
        <w:rPr>
          <w:rFonts w:ascii="Times New Roman" w:eastAsiaTheme="minorEastAsia" w:hAnsi="Times New Roman" w:cs="Times New Roman"/>
          <w:sz w:val="23"/>
          <w:szCs w:val="23"/>
        </w:rPr>
        <w:t>FY20</w:t>
      </w:r>
      <w:r w:rsidRPr="005204DB">
        <w:rPr>
          <w:rFonts w:ascii="Times New Roman" w:eastAsiaTheme="minorEastAsia" w:hAnsi="Times New Roman" w:cs="Times New Roman"/>
          <w:sz w:val="23"/>
          <w:szCs w:val="23"/>
        </w:rPr>
        <w:t xml:space="preserve">, 63.7% </w:t>
      </w:r>
      <w:r w:rsidR="00211B1B" w:rsidRPr="005204DB">
        <w:rPr>
          <w:rFonts w:ascii="Times New Roman" w:eastAsiaTheme="minorEastAsia" w:hAnsi="Times New Roman" w:cs="Times New Roman"/>
          <w:sz w:val="23"/>
          <w:szCs w:val="23"/>
        </w:rPr>
        <w:t>of MO</w:t>
      </w:r>
      <w:r w:rsidRPr="005204DB">
        <w:rPr>
          <w:rFonts w:ascii="Times New Roman" w:eastAsiaTheme="minorEastAsia" w:hAnsi="Times New Roman" w:cs="Times New Roman"/>
          <w:sz w:val="23"/>
          <w:szCs w:val="23"/>
        </w:rPr>
        <w:t xml:space="preserve">Learns students who </w:t>
      </w:r>
      <w:r w:rsidR="00CF4B46" w:rsidRPr="005204DB">
        <w:rPr>
          <w:rFonts w:ascii="Times New Roman" w:eastAsiaTheme="minorEastAsia" w:hAnsi="Times New Roman" w:cs="Times New Roman"/>
          <w:sz w:val="23"/>
          <w:szCs w:val="23"/>
        </w:rPr>
        <w:t xml:space="preserve">were given a post-test progressed at least one educational functioning </w:t>
      </w:r>
      <w:r w:rsidRPr="005204DB">
        <w:rPr>
          <w:rFonts w:ascii="Times New Roman" w:eastAsiaTheme="minorEastAsia" w:hAnsi="Times New Roman" w:cs="Times New Roman"/>
          <w:sz w:val="23"/>
          <w:szCs w:val="23"/>
        </w:rPr>
        <w:t xml:space="preserve">level.    </w:t>
      </w:r>
    </w:p>
    <w:p w:rsidR="006D33BF" w:rsidRPr="005204DB" w:rsidRDefault="00A14E8B" w:rsidP="000B6FB9">
      <w:pPr>
        <w:spacing w:after="200" w:line="240" w:lineRule="auto"/>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 xml:space="preserve">The MOLearns Program offers instruction through the use of an academic/basic skills curriculum developed specifically for the Missouri HSE Online Class Program. The curriculum, created by Missouri AEL teachers, continues to be evaluated and updated as needed.  In addition, Plato Edmentum is utilized for students working below the High School Equivalency level.  </w:t>
      </w:r>
      <w:r w:rsidRPr="005204DB">
        <w:rPr>
          <w:rFonts w:ascii="Times New Roman" w:eastAsiaTheme="minorEastAsia" w:hAnsi="Times New Roman" w:cs="Times New Roman"/>
          <w:i/>
          <w:sz w:val="23"/>
          <w:szCs w:val="23"/>
        </w:rPr>
        <w:t xml:space="preserve">Canvas Instructure </w:t>
      </w:r>
      <w:r w:rsidRPr="005204DB">
        <w:rPr>
          <w:rFonts w:ascii="Times New Roman" w:eastAsiaTheme="minorEastAsia" w:hAnsi="Times New Roman" w:cs="Times New Roman"/>
          <w:sz w:val="23"/>
          <w:szCs w:val="23"/>
        </w:rPr>
        <w:t>is used as a platform for instructional activity for MOLearns.</w:t>
      </w:r>
    </w:p>
    <w:p w:rsidR="00F96188" w:rsidRPr="005204DB" w:rsidRDefault="00F96188" w:rsidP="000B6FB9">
      <w:pPr>
        <w:pStyle w:val="ListParagraph"/>
        <w:numPr>
          <w:ilvl w:val="0"/>
          <w:numId w:val="1"/>
        </w:numPr>
        <w:spacing w:line="240" w:lineRule="auto"/>
        <w:rPr>
          <w:rFonts w:ascii="Times New Roman" w:hAnsi="Times New Roman" w:cs="Times New Roman"/>
          <w:b/>
          <w:sz w:val="23"/>
          <w:szCs w:val="23"/>
        </w:rPr>
      </w:pPr>
      <w:r w:rsidRPr="005204DB">
        <w:rPr>
          <w:rFonts w:ascii="Times New Roman" w:eastAsiaTheme="minorEastAsia" w:hAnsi="Times New Roman" w:cs="Times New Roman"/>
          <w:b/>
          <w:sz w:val="23"/>
          <w:szCs w:val="23"/>
          <w:u w:val="single"/>
        </w:rPr>
        <w:t>Performance Data Analysis</w:t>
      </w:r>
      <w:r w:rsidR="00211B1B" w:rsidRPr="005204DB">
        <w:rPr>
          <w:rFonts w:ascii="Times New Roman" w:eastAsiaTheme="minorEastAsia" w:hAnsi="Times New Roman" w:cs="Times New Roman"/>
          <w:b/>
          <w:sz w:val="23"/>
          <w:szCs w:val="23"/>
          <w:u w:val="single"/>
        </w:rPr>
        <w:t xml:space="preserve"> </w:t>
      </w:r>
    </w:p>
    <w:p w:rsidR="006778E9" w:rsidRPr="005204DB" w:rsidRDefault="00F96188" w:rsidP="000B6FB9">
      <w:pPr>
        <w:pStyle w:val="ListParagraph"/>
        <w:spacing w:line="240" w:lineRule="auto"/>
        <w:ind w:left="360"/>
        <w:rPr>
          <w:rFonts w:ascii="Times New Roman" w:eastAsiaTheme="minorEastAsia" w:hAnsi="Times New Roman" w:cs="Times New Roman"/>
          <w:b/>
          <w:i/>
          <w:color w:val="000000" w:themeColor="text1"/>
          <w:sz w:val="23"/>
          <w:szCs w:val="23"/>
        </w:rPr>
      </w:pPr>
      <w:r w:rsidRPr="005204DB">
        <w:rPr>
          <w:rFonts w:ascii="Times New Roman" w:eastAsiaTheme="minorEastAsia" w:hAnsi="Times New Roman" w:cs="Times New Roman"/>
          <w:b/>
          <w:i/>
          <w:color w:val="000000" w:themeColor="text1"/>
          <w:sz w:val="23"/>
          <w:szCs w:val="23"/>
        </w:rPr>
        <w:t xml:space="preserve">Describe how the adult education program performed in the overall assessment of core programs based on the core indicators of performance.  Discuss how the assessment was used </w:t>
      </w:r>
      <w:r w:rsidRPr="005204DB">
        <w:rPr>
          <w:rFonts w:ascii="Times New Roman" w:eastAsiaTheme="minorEastAsia" w:hAnsi="Times New Roman" w:cs="Times New Roman"/>
          <w:b/>
          <w:i/>
          <w:color w:val="000000" w:themeColor="text1"/>
          <w:sz w:val="23"/>
          <w:szCs w:val="23"/>
        </w:rPr>
        <w:lastRenderedPageBreak/>
        <w:t>to improve quality and effectiveness of the funded eligible providers and any plans to further increase performance in future reporting years.</w:t>
      </w:r>
    </w:p>
    <w:p w:rsidR="008B404E" w:rsidRPr="005204DB" w:rsidRDefault="00F96188" w:rsidP="000B6FB9">
      <w:pPr>
        <w:pStyle w:val="ListParagraph"/>
        <w:spacing w:line="240" w:lineRule="auto"/>
        <w:ind w:left="0"/>
        <w:rPr>
          <w:rFonts w:ascii="Times New Roman" w:eastAsiaTheme="minorEastAsia" w:hAnsi="Times New Roman" w:cs="Times New Roman"/>
          <w:b/>
          <w:i/>
          <w:color w:val="000000" w:themeColor="text1"/>
          <w:sz w:val="23"/>
          <w:szCs w:val="23"/>
        </w:rPr>
      </w:pPr>
      <w:r w:rsidRPr="005204DB">
        <w:rPr>
          <w:rFonts w:ascii="Times New Roman" w:hAnsi="Times New Roman" w:cs="Times New Roman"/>
          <w:b/>
          <w:sz w:val="23"/>
          <w:szCs w:val="23"/>
        </w:rPr>
        <w:t>Significant Outcomes</w:t>
      </w:r>
      <w:r w:rsidR="00211B1B" w:rsidRPr="005204DB">
        <w:rPr>
          <w:rFonts w:ascii="Times New Roman" w:hAnsi="Times New Roman" w:cs="Times New Roman"/>
          <w:b/>
          <w:sz w:val="23"/>
          <w:szCs w:val="23"/>
        </w:rPr>
        <w:br/>
      </w:r>
      <w:r w:rsidR="008B404E" w:rsidRPr="005204DB">
        <w:rPr>
          <w:rFonts w:ascii="Times New Roman" w:hAnsi="Times New Roman" w:cs="Times New Roman"/>
          <w:sz w:val="23"/>
          <w:szCs w:val="23"/>
        </w:rPr>
        <w:t xml:space="preserve">The challenges presented by delivering adult education in the midst of a pandemic were evident in </w:t>
      </w:r>
      <w:r w:rsidR="00C27243" w:rsidRPr="005204DB">
        <w:rPr>
          <w:rFonts w:ascii="Times New Roman" w:hAnsi="Times New Roman" w:cs="Times New Roman"/>
          <w:sz w:val="23"/>
          <w:szCs w:val="23"/>
        </w:rPr>
        <w:t>Missouri’s AEL</w:t>
      </w:r>
      <w:r w:rsidR="008B404E" w:rsidRPr="005204DB">
        <w:rPr>
          <w:rFonts w:ascii="Times New Roman" w:hAnsi="Times New Roman" w:cs="Times New Roman"/>
          <w:sz w:val="23"/>
          <w:szCs w:val="23"/>
        </w:rPr>
        <w:t xml:space="preserve"> enrollment numbers. More than two thousand students pre-tested but were not able to post-test due to facility closures. 1,490 students exited our programs due to COVID-19 and there were 1,305 students</w:t>
      </w:r>
      <w:r w:rsidR="00C27243" w:rsidRPr="005204DB">
        <w:rPr>
          <w:rFonts w:ascii="Times New Roman" w:hAnsi="Times New Roman" w:cs="Times New Roman"/>
          <w:sz w:val="23"/>
          <w:szCs w:val="23"/>
        </w:rPr>
        <w:t xml:space="preserve"> in correctional facilities</w:t>
      </w:r>
      <w:r w:rsidR="008B404E" w:rsidRPr="005204DB">
        <w:rPr>
          <w:rFonts w:ascii="Times New Roman" w:hAnsi="Times New Roman" w:cs="Times New Roman"/>
          <w:sz w:val="23"/>
          <w:szCs w:val="23"/>
        </w:rPr>
        <w:t xml:space="preserve"> that could not be served because of classroom restrictions within institutions.</w:t>
      </w:r>
    </w:p>
    <w:p w:rsidR="00F96188" w:rsidRPr="005204DB" w:rsidRDefault="00C27243" w:rsidP="000B6FB9">
      <w:pPr>
        <w:spacing w:line="240" w:lineRule="auto"/>
        <w:rPr>
          <w:rFonts w:ascii="Times New Roman" w:hAnsi="Times New Roman" w:cs="Times New Roman"/>
          <w:b/>
          <w:sz w:val="23"/>
          <w:szCs w:val="23"/>
        </w:rPr>
      </w:pPr>
      <w:r w:rsidRPr="005204DB">
        <w:rPr>
          <w:rFonts w:ascii="Times New Roman" w:hAnsi="Times New Roman" w:cs="Times New Roman"/>
          <w:sz w:val="23"/>
          <w:szCs w:val="23"/>
        </w:rPr>
        <w:t xml:space="preserve">In spite of the challenges </w:t>
      </w:r>
      <w:r w:rsidR="008B404E" w:rsidRPr="005204DB">
        <w:rPr>
          <w:rFonts w:ascii="Times New Roman" w:hAnsi="Times New Roman" w:cs="Times New Roman"/>
          <w:sz w:val="23"/>
          <w:szCs w:val="23"/>
        </w:rPr>
        <w:t>i</w:t>
      </w:r>
      <w:r w:rsidR="00F96188" w:rsidRPr="005204DB">
        <w:rPr>
          <w:rFonts w:ascii="Times New Roman" w:hAnsi="Times New Roman" w:cs="Times New Roman"/>
          <w:sz w:val="23"/>
          <w:szCs w:val="23"/>
        </w:rPr>
        <w:t xml:space="preserve">n </w:t>
      </w:r>
      <w:r w:rsidR="008B404E" w:rsidRPr="005204DB">
        <w:rPr>
          <w:rFonts w:ascii="Times New Roman" w:hAnsi="Times New Roman" w:cs="Times New Roman"/>
          <w:sz w:val="23"/>
          <w:szCs w:val="23"/>
        </w:rPr>
        <w:t>FY20</w:t>
      </w:r>
      <w:r w:rsidR="00F96188" w:rsidRPr="005204DB">
        <w:rPr>
          <w:rFonts w:ascii="Times New Roman" w:hAnsi="Times New Roman" w:cs="Times New Roman"/>
          <w:sz w:val="23"/>
          <w:szCs w:val="23"/>
        </w:rPr>
        <w:t>,</w:t>
      </w:r>
      <w:r w:rsidRPr="005204DB">
        <w:rPr>
          <w:rFonts w:ascii="Times New Roman" w:hAnsi="Times New Roman" w:cs="Times New Roman"/>
          <w:sz w:val="23"/>
          <w:szCs w:val="23"/>
        </w:rPr>
        <w:t xml:space="preserve"> out of 15,521 reportable individuals in the Missouri Literacy Adult and Community Education System (LACES) </w:t>
      </w:r>
      <w:r w:rsidR="00F96188" w:rsidRPr="005204DB">
        <w:rPr>
          <w:rFonts w:ascii="Times New Roman" w:hAnsi="Times New Roman" w:cs="Times New Roman"/>
          <w:sz w:val="23"/>
          <w:szCs w:val="23"/>
        </w:rPr>
        <w:t>13,074 students</w:t>
      </w:r>
      <w:r w:rsidRPr="005204DB">
        <w:rPr>
          <w:rFonts w:ascii="Times New Roman" w:hAnsi="Times New Roman" w:cs="Times New Roman"/>
          <w:sz w:val="23"/>
          <w:szCs w:val="23"/>
        </w:rPr>
        <w:t xml:space="preserve"> were</w:t>
      </w:r>
      <w:r w:rsidR="00F96188" w:rsidRPr="005204DB">
        <w:rPr>
          <w:rFonts w:ascii="Times New Roman" w:hAnsi="Times New Roman" w:cs="Times New Roman"/>
          <w:sz w:val="23"/>
          <w:szCs w:val="23"/>
        </w:rPr>
        <w:t xml:space="preserve"> enrolled in Adult Education</w:t>
      </w:r>
      <w:r w:rsidRPr="005204DB">
        <w:rPr>
          <w:rFonts w:ascii="Times New Roman" w:hAnsi="Times New Roman" w:cs="Times New Roman"/>
          <w:sz w:val="23"/>
          <w:szCs w:val="23"/>
        </w:rPr>
        <w:t>. These students were given a pre-test</w:t>
      </w:r>
      <w:r w:rsidR="00F96188" w:rsidRPr="005204DB">
        <w:rPr>
          <w:rFonts w:ascii="Times New Roman" w:hAnsi="Times New Roman" w:cs="Times New Roman"/>
          <w:sz w:val="23"/>
          <w:szCs w:val="23"/>
        </w:rPr>
        <w:t xml:space="preserve"> and persisted</w:t>
      </w:r>
      <w:r w:rsidRPr="005204DB">
        <w:rPr>
          <w:rFonts w:ascii="Times New Roman" w:hAnsi="Times New Roman" w:cs="Times New Roman"/>
          <w:sz w:val="23"/>
          <w:szCs w:val="23"/>
        </w:rPr>
        <w:t xml:space="preserve"> for</w:t>
      </w:r>
      <w:r w:rsidR="00F96188" w:rsidRPr="005204DB">
        <w:rPr>
          <w:rFonts w:ascii="Times New Roman" w:hAnsi="Times New Roman" w:cs="Times New Roman"/>
          <w:sz w:val="23"/>
          <w:szCs w:val="23"/>
        </w:rPr>
        <w:t xml:space="preserve"> 12 hours </w:t>
      </w:r>
      <w:r w:rsidRPr="005204DB">
        <w:rPr>
          <w:rFonts w:ascii="Times New Roman" w:hAnsi="Times New Roman" w:cs="Times New Roman"/>
          <w:sz w:val="23"/>
          <w:szCs w:val="23"/>
        </w:rPr>
        <w:t xml:space="preserve">of instruction </w:t>
      </w:r>
      <w:r w:rsidR="00F96188" w:rsidRPr="005204DB">
        <w:rPr>
          <w:rFonts w:ascii="Times New Roman" w:hAnsi="Times New Roman" w:cs="Times New Roman"/>
          <w:sz w:val="23"/>
          <w:szCs w:val="23"/>
        </w:rPr>
        <w:t>or more</w:t>
      </w:r>
      <w:r w:rsidRPr="005204DB">
        <w:rPr>
          <w:rFonts w:ascii="Times New Roman" w:hAnsi="Times New Roman" w:cs="Times New Roman"/>
          <w:sz w:val="23"/>
          <w:szCs w:val="23"/>
        </w:rPr>
        <w:t xml:space="preserve">. </w:t>
      </w:r>
      <w:r w:rsidR="00F96188" w:rsidRPr="005204DB">
        <w:rPr>
          <w:rFonts w:ascii="Times New Roman" w:hAnsi="Times New Roman" w:cs="Times New Roman"/>
          <w:sz w:val="23"/>
          <w:szCs w:val="23"/>
        </w:rPr>
        <w:t>This is an eighty-four</w:t>
      </w:r>
      <w:r w:rsidRPr="005204DB">
        <w:rPr>
          <w:rFonts w:ascii="Times New Roman" w:hAnsi="Times New Roman" w:cs="Times New Roman"/>
          <w:sz w:val="23"/>
          <w:szCs w:val="23"/>
        </w:rPr>
        <w:t xml:space="preserve"> percent (84%) persistence rate showing effective recruitment and retention by Missouri’s local AEL programs.</w:t>
      </w:r>
    </w:p>
    <w:p w:rsidR="00F96188" w:rsidRPr="005204DB" w:rsidRDefault="00F96188" w:rsidP="000B6FB9">
      <w:pPr>
        <w:spacing w:line="240" w:lineRule="auto"/>
        <w:rPr>
          <w:rFonts w:ascii="Times New Roman" w:hAnsi="Times New Roman" w:cs="Times New Roman"/>
          <w:b/>
          <w:sz w:val="23"/>
          <w:szCs w:val="23"/>
        </w:rPr>
      </w:pPr>
      <w:r w:rsidRPr="005204DB">
        <w:rPr>
          <w:rFonts w:ascii="Times New Roman" w:hAnsi="Times New Roman" w:cs="Times New Roman"/>
          <w:b/>
          <w:sz w:val="23"/>
          <w:szCs w:val="23"/>
        </w:rPr>
        <w:t>Performance Measure - Measureable Skill Gains</w:t>
      </w:r>
      <w:r w:rsidR="00211B1B" w:rsidRPr="005204DB">
        <w:rPr>
          <w:rFonts w:ascii="Times New Roman" w:hAnsi="Times New Roman" w:cs="Times New Roman"/>
          <w:b/>
          <w:sz w:val="23"/>
          <w:szCs w:val="23"/>
        </w:rPr>
        <w:br/>
      </w:r>
      <w:r w:rsidR="0017710E" w:rsidRPr="005204DB">
        <w:rPr>
          <w:rFonts w:ascii="Times New Roman" w:hAnsi="Times New Roman" w:cs="Times New Roman"/>
          <w:sz w:val="23"/>
          <w:szCs w:val="23"/>
        </w:rPr>
        <w:t>In</w:t>
      </w:r>
      <w:r w:rsidRPr="005204DB">
        <w:rPr>
          <w:rFonts w:ascii="Times New Roman" w:hAnsi="Times New Roman" w:cs="Times New Roman"/>
          <w:sz w:val="23"/>
          <w:szCs w:val="23"/>
        </w:rPr>
        <w:t xml:space="preserve"> </w:t>
      </w:r>
      <w:r w:rsidR="00BD71A9" w:rsidRPr="005204DB">
        <w:rPr>
          <w:rFonts w:ascii="Times New Roman" w:hAnsi="Times New Roman" w:cs="Times New Roman"/>
          <w:sz w:val="23"/>
          <w:szCs w:val="23"/>
        </w:rPr>
        <w:t>FY20</w:t>
      </w:r>
      <w:r w:rsidRPr="005204DB">
        <w:rPr>
          <w:rFonts w:ascii="Times New Roman" w:hAnsi="Times New Roman" w:cs="Times New Roman"/>
          <w:sz w:val="23"/>
          <w:szCs w:val="23"/>
        </w:rPr>
        <w:t>, 64% of the participan</w:t>
      </w:r>
      <w:r w:rsidR="0017710E" w:rsidRPr="005204DB">
        <w:rPr>
          <w:rFonts w:ascii="Times New Roman" w:hAnsi="Times New Roman" w:cs="Times New Roman"/>
          <w:sz w:val="23"/>
          <w:szCs w:val="23"/>
        </w:rPr>
        <w:t>ts were administered post-tests</w:t>
      </w:r>
      <w:r w:rsidRPr="005204DB">
        <w:rPr>
          <w:rFonts w:ascii="Times New Roman" w:hAnsi="Times New Roman" w:cs="Times New Roman"/>
          <w:sz w:val="23"/>
          <w:szCs w:val="23"/>
        </w:rPr>
        <w:t xml:space="preserve"> which is lower than the previous three years.  </w:t>
      </w:r>
      <w:r w:rsidR="0017710E" w:rsidRPr="005204DB">
        <w:rPr>
          <w:rFonts w:ascii="Times New Roman" w:hAnsi="Times New Roman" w:cs="Times New Roman"/>
          <w:sz w:val="23"/>
          <w:szCs w:val="23"/>
        </w:rPr>
        <w:t>T</w:t>
      </w:r>
      <w:r w:rsidRPr="005204DB">
        <w:rPr>
          <w:rFonts w:ascii="Times New Roman" w:hAnsi="Times New Roman" w:cs="Times New Roman"/>
          <w:sz w:val="23"/>
          <w:szCs w:val="23"/>
        </w:rPr>
        <w:t>his ca</w:t>
      </w:r>
      <w:r w:rsidR="0017710E" w:rsidRPr="005204DB">
        <w:rPr>
          <w:rFonts w:ascii="Times New Roman" w:hAnsi="Times New Roman" w:cs="Times New Roman"/>
          <w:sz w:val="23"/>
          <w:szCs w:val="23"/>
        </w:rPr>
        <w:t>n be attributed to the pandemic</w:t>
      </w:r>
      <w:r w:rsidR="0096215A">
        <w:rPr>
          <w:rFonts w:ascii="Times New Roman" w:hAnsi="Times New Roman" w:cs="Times New Roman"/>
          <w:sz w:val="23"/>
          <w:szCs w:val="23"/>
        </w:rPr>
        <w:t>.  Because</w:t>
      </w:r>
      <w:r w:rsidR="0017710E" w:rsidRPr="005204DB">
        <w:rPr>
          <w:rFonts w:ascii="Times New Roman" w:hAnsi="Times New Roman" w:cs="Times New Roman"/>
          <w:sz w:val="23"/>
          <w:szCs w:val="23"/>
        </w:rPr>
        <w:t xml:space="preserve"> data from</w:t>
      </w:r>
      <w:r w:rsidRPr="005204DB">
        <w:rPr>
          <w:rFonts w:ascii="Times New Roman" w:hAnsi="Times New Roman" w:cs="Times New Roman"/>
          <w:sz w:val="23"/>
          <w:szCs w:val="23"/>
        </w:rPr>
        <w:t xml:space="preserve"> previous years</w:t>
      </w:r>
      <w:r w:rsidR="00B05323">
        <w:rPr>
          <w:rFonts w:ascii="Times New Roman" w:hAnsi="Times New Roman" w:cs="Times New Roman"/>
          <w:sz w:val="23"/>
          <w:szCs w:val="23"/>
        </w:rPr>
        <w:t xml:space="preserve"> shows</w:t>
      </w:r>
      <w:r w:rsidRPr="005204DB">
        <w:rPr>
          <w:rFonts w:ascii="Times New Roman" w:hAnsi="Times New Roman" w:cs="Times New Roman"/>
          <w:sz w:val="23"/>
          <w:szCs w:val="23"/>
        </w:rPr>
        <w:t xml:space="preserve"> the percentage of students who were post-tested, as a general rule, in</w:t>
      </w:r>
      <w:r w:rsidR="0096215A">
        <w:rPr>
          <w:rFonts w:ascii="Times New Roman" w:hAnsi="Times New Roman" w:cs="Times New Roman"/>
          <w:sz w:val="23"/>
          <w:szCs w:val="23"/>
        </w:rPr>
        <w:t xml:space="preserve">creased at the end of each year and </w:t>
      </w:r>
      <w:r w:rsidRPr="005204DB">
        <w:rPr>
          <w:rFonts w:ascii="Times New Roman" w:hAnsi="Times New Roman" w:cs="Times New Roman"/>
          <w:sz w:val="23"/>
          <w:szCs w:val="23"/>
        </w:rPr>
        <w:t>most programs were not having in-p</w:t>
      </w:r>
      <w:r w:rsidR="00BD71A9" w:rsidRPr="005204DB">
        <w:rPr>
          <w:rFonts w:ascii="Times New Roman" w:hAnsi="Times New Roman" w:cs="Times New Roman"/>
          <w:sz w:val="23"/>
          <w:szCs w:val="23"/>
        </w:rPr>
        <w:t>erson classes at the end of FY</w:t>
      </w:r>
      <w:r w:rsidRPr="005204DB">
        <w:rPr>
          <w:rFonts w:ascii="Times New Roman" w:hAnsi="Times New Roman" w:cs="Times New Roman"/>
          <w:sz w:val="23"/>
          <w:szCs w:val="23"/>
        </w:rPr>
        <w:t>20,</w:t>
      </w:r>
      <w:r w:rsidR="0096215A">
        <w:rPr>
          <w:rFonts w:ascii="Times New Roman" w:hAnsi="Times New Roman" w:cs="Times New Roman"/>
          <w:sz w:val="23"/>
          <w:szCs w:val="23"/>
        </w:rPr>
        <w:t xml:space="preserve"> </w:t>
      </w:r>
      <w:r w:rsidRPr="005204DB">
        <w:rPr>
          <w:rFonts w:ascii="Times New Roman" w:hAnsi="Times New Roman" w:cs="Times New Roman"/>
          <w:sz w:val="23"/>
          <w:szCs w:val="23"/>
        </w:rPr>
        <w:t>many students were not able to post-test, and thus the post-test rate is lower than in a normal year.</w:t>
      </w:r>
    </w:p>
    <w:p w:rsidR="00F96188" w:rsidRPr="005204DB" w:rsidRDefault="0017710E" w:rsidP="000B6FB9">
      <w:pPr>
        <w:pStyle w:val="NoSpacing"/>
        <w:rPr>
          <w:rFonts w:ascii="Times New Roman" w:hAnsi="Times New Roman" w:cs="Times New Roman"/>
          <w:sz w:val="23"/>
          <w:szCs w:val="23"/>
        </w:rPr>
      </w:pPr>
      <w:r w:rsidRPr="005204DB">
        <w:rPr>
          <w:rFonts w:ascii="Times New Roman" w:eastAsia="Arial Unicode MS" w:hAnsi="Times New Roman" w:cs="Times New Roman"/>
          <w:sz w:val="23"/>
          <w:szCs w:val="23"/>
        </w:rPr>
        <w:t xml:space="preserve">Further, </w:t>
      </w:r>
      <w:r w:rsidR="00F96188" w:rsidRPr="005204DB">
        <w:rPr>
          <w:rFonts w:ascii="Times New Roman" w:eastAsia="Arial Unicode MS" w:hAnsi="Times New Roman" w:cs="Times New Roman"/>
          <w:sz w:val="23"/>
          <w:szCs w:val="23"/>
        </w:rPr>
        <w:t xml:space="preserve">in </w:t>
      </w:r>
      <w:r w:rsidR="00BD71A9" w:rsidRPr="005204DB">
        <w:rPr>
          <w:rFonts w:ascii="Times New Roman" w:eastAsia="Arial Unicode MS" w:hAnsi="Times New Roman" w:cs="Times New Roman"/>
          <w:sz w:val="23"/>
          <w:szCs w:val="23"/>
        </w:rPr>
        <w:t>FY20</w:t>
      </w:r>
      <w:r w:rsidR="00F96188" w:rsidRPr="005204DB">
        <w:rPr>
          <w:rFonts w:ascii="Times New Roman" w:eastAsia="Arial Unicode MS" w:hAnsi="Times New Roman" w:cs="Times New Roman"/>
          <w:sz w:val="23"/>
          <w:szCs w:val="23"/>
        </w:rPr>
        <w:t>, seventy-seven percent (77%) of students</w:t>
      </w:r>
      <w:r w:rsidR="00BD71A9" w:rsidRPr="005204DB">
        <w:rPr>
          <w:rFonts w:ascii="Times New Roman" w:eastAsia="Arial Unicode MS" w:hAnsi="Times New Roman" w:cs="Times New Roman"/>
          <w:sz w:val="23"/>
          <w:szCs w:val="23"/>
        </w:rPr>
        <w:t xml:space="preserve"> receiving a post-test</w:t>
      </w:r>
      <w:r w:rsidR="00F96188" w:rsidRPr="005204DB">
        <w:rPr>
          <w:rFonts w:ascii="Times New Roman" w:eastAsia="Arial Unicode MS" w:hAnsi="Times New Roman" w:cs="Times New Roman"/>
          <w:sz w:val="23"/>
          <w:szCs w:val="23"/>
        </w:rPr>
        <w:t xml:space="preserve"> </w:t>
      </w:r>
      <w:r w:rsidR="00BD71A9" w:rsidRPr="005204DB">
        <w:rPr>
          <w:rFonts w:ascii="Times New Roman" w:eastAsia="Arial Unicode MS" w:hAnsi="Times New Roman" w:cs="Times New Roman"/>
          <w:sz w:val="23"/>
          <w:szCs w:val="23"/>
        </w:rPr>
        <w:t>gain</w:t>
      </w:r>
      <w:r w:rsidRPr="005204DB">
        <w:rPr>
          <w:rFonts w:ascii="Times New Roman" w:eastAsia="Arial Unicode MS" w:hAnsi="Times New Roman" w:cs="Times New Roman"/>
          <w:sz w:val="23"/>
          <w:szCs w:val="23"/>
        </w:rPr>
        <w:t>ed</w:t>
      </w:r>
      <w:r w:rsidR="00F96188" w:rsidRPr="005204DB">
        <w:rPr>
          <w:rFonts w:ascii="Times New Roman" w:eastAsia="Arial Unicode MS" w:hAnsi="Times New Roman" w:cs="Times New Roman"/>
          <w:sz w:val="23"/>
          <w:szCs w:val="23"/>
        </w:rPr>
        <w:t xml:space="preserve"> an educational functioning level or advanced to higher educational functioning levels</w:t>
      </w:r>
      <w:r w:rsidR="00BD71A9" w:rsidRPr="005204DB">
        <w:rPr>
          <w:rFonts w:ascii="Times New Roman" w:eastAsia="Arial Unicode MS" w:hAnsi="Times New Roman" w:cs="Times New Roman"/>
          <w:sz w:val="23"/>
          <w:szCs w:val="23"/>
        </w:rPr>
        <w:t>. As with enrollment numbers, this</w:t>
      </w:r>
      <w:r w:rsidR="00F96188" w:rsidRPr="005204DB">
        <w:rPr>
          <w:rFonts w:ascii="Times New Roman" w:eastAsia="Arial Unicode MS" w:hAnsi="Times New Roman" w:cs="Times New Roman"/>
          <w:sz w:val="23"/>
          <w:szCs w:val="23"/>
        </w:rPr>
        <w:t xml:space="preserve"> is also a decrease from the prior three </w:t>
      </w:r>
      <w:r w:rsidR="00BD71A9" w:rsidRPr="005204DB">
        <w:rPr>
          <w:rFonts w:ascii="Times New Roman" w:eastAsia="Arial Unicode MS" w:hAnsi="Times New Roman" w:cs="Times New Roman"/>
          <w:sz w:val="23"/>
          <w:szCs w:val="23"/>
        </w:rPr>
        <w:t>years which Missouri attributes</w:t>
      </w:r>
      <w:r w:rsidR="00F96188" w:rsidRPr="005204DB">
        <w:rPr>
          <w:rFonts w:ascii="Times New Roman" w:eastAsia="Arial Unicode MS" w:hAnsi="Times New Roman" w:cs="Times New Roman"/>
          <w:sz w:val="23"/>
          <w:szCs w:val="23"/>
        </w:rPr>
        <w:t xml:space="preserve"> to the pandemic and the</w:t>
      </w:r>
      <w:r w:rsidR="00F96188" w:rsidRPr="005204DB">
        <w:rPr>
          <w:rFonts w:ascii="Times New Roman" w:hAnsi="Times New Roman" w:cs="Times New Roman"/>
          <w:sz w:val="23"/>
          <w:szCs w:val="23"/>
        </w:rPr>
        <w:t xml:space="preserve"> </w:t>
      </w:r>
      <w:r w:rsidR="00BD71A9" w:rsidRPr="005204DB">
        <w:rPr>
          <w:rFonts w:ascii="Times New Roman" w:hAnsi="Times New Roman" w:cs="Times New Roman"/>
          <w:sz w:val="23"/>
          <w:szCs w:val="23"/>
        </w:rPr>
        <w:t xml:space="preserve">reduction </w:t>
      </w:r>
      <w:r w:rsidR="00F96188" w:rsidRPr="005204DB">
        <w:rPr>
          <w:rFonts w:ascii="Times New Roman" w:hAnsi="Times New Roman" w:cs="Times New Roman"/>
          <w:sz w:val="23"/>
          <w:szCs w:val="23"/>
        </w:rPr>
        <w:t>of in-person classes</w:t>
      </w:r>
      <w:r w:rsidR="00BD71A9" w:rsidRPr="005204DB">
        <w:rPr>
          <w:rFonts w:ascii="Times New Roman" w:hAnsi="Times New Roman" w:cs="Times New Roman"/>
          <w:sz w:val="23"/>
          <w:szCs w:val="23"/>
        </w:rPr>
        <w:t xml:space="preserve">. More than 2,500 students </w:t>
      </w:r>
      <w:r w:rsidRPr="005204DB">
        <w:rPr>
          <w:rFonts w:ascii="Times New Roman" w:hAnsi="Times New Roman" w:cs="Times New Roman"/>
          <w:sz w:val="23"/>
          <w:szCs w:val="23"/>
        </w:rPr>
        <w:t xml:space="preserve">received more than </w:t>
      </w:r>
      <w:r w:rsidR="00BD71A9" w:rsidRPr="005204DB">
        <w:rPr>
          <w:rFonts w:ascii="Times New Roman" w:hAnsi="Times New Roman" w:cs="Times New Roman"/>
          <w:sz w:val="23"/>
          <w:szCs w:val="23"/>
        </w:rPr>
        <w:t>12 hours of instruction but were not able to receive appropriate pre/post-tests.</w:t>
      </w:r>
    </w:p>
    <w:tbl>
      <w:tblPr>
        <w:tblStyle w:val="TableGrid1"/>
        <w:tblW w:w="9258" w:type="dxa"/>
        <w:tblLook w:val="04A0" w:firstRow="1" w:lastRow="0" w:firstColumn="1" w:lastColumn="0" w:noHBand="0" w:noVBand="1"/>
      </w:tblPr>
      <w:tblGrid>
        <w:gridCol w:w="4622"/>
        <w:gridCol w:w="1223"/>
        <w:gridCol w:w="1080"/>
        <w:gridCol w:w="1260"/>
        <w:gridCol w:w="1073"/>
      </w:tblGrid>
      <w:tr w:rsidR="00F96188" w:rsidRPr="005204DB" w:rsidTr="006778E9">
        <w:trPr>
          <w:trHeight w:val="584"/>
        </w:trPr>
        <w:tc>
          <w:tcPr>
            <w:tcW w:w="4622" w:type="dxa"/>
            <w:shd w:val="clear" w:color="auto" w:fill="D0CECE" w:themeFill="background2" w:themeFillShade="E6"/>
            <w:vAlign w:val="center"/>
          </w:tcPr>
          <w:p w:rsidR="00F96188" w:rsidRPr="005204DB" w:rsidRDefault="00F96188" w:rsidP="000B6FB9">
            <w:pPr>
              <w:jc w:val="center"/>
              <w:rPr>
                <w:rFonts w:ascii="Times New Roman" w:hAnsi="Times New Roman" w:cs="Times New Roman"/>
                <w:b/>
                <w:sz w:val="23"/>
                <w:szCs w:val="23"/>
              </w:rPr>
            </w:pPr>
            <w:r w:rsidRPr="005204DB">
              <w:rPr>
                <w:rFonts w:ascii="Times New Roman" w:hAnsi="Times New Roman" w:cs="Times New Roman"/>
                <w:b/>
                <w:sz w:val="23"/>
                <w:szCs w:val="23"/>
              </w:rPr>
              <w:t>Fiscal Year</w:t>
            </w:r>
          </w:p>
        </w:tc>
        <w:tc>
          <w:tcPr>
            <w:tcW w:w="1223" w:type="dxa"/>
            <w:shd w:val="clear" w:color="auto" w:fill="D0CECE" w:themeFill="background2" w:themeFillShade="E6"/>
            <w:vAlign w:val="center"/>
          </w:tcPr>
          <w:p w:rsidR="00F96188" w:rsidRPr="005204DB" w:rsidRDefault="00F96188" w:rsidP="000B6FB9">
            <w:pPr>
              <w:jc w:val="center"/>
              <w:rPr>
                <w:rFonts w:ascii="Times New Roman" w:hAnsi="Times New Roman" w:cs="Times New Roman"/>
                <w:b/>
                <w:sz w:val="23"/>
                <w:szCs w:val="23"/>
              </w:rPr>
            </w:pPr>
            <w:r w:rsidRPr="005204DB">
              <w:rPr>
                <w:rFonts w:ascii="Times New Roman" w:hAnsi="Times New Roman" w:cs="Times New Roman"/>
                <w:b/>
                <w:sz w:val="23"/>
                <w:szCs w:val="23"/>
              </w:rPr>
              <w:t>2017</w:t>
            </w:r>
          </w:p>
        </w:tc>
        <w:tc>
          <w:tcPr>
            <w:tcW w:w="1080" w:type="dxa"/>
            <w:shd w:val="clear" w:color="auto" w:fill="D0CECE" w:themeFill="background2" w:themeFillShade="E6"/>
            <w:vAlign w:val="center"/>
          </w:tcPr>
          <w:p w:rsidR="00F96188" w:rsidRPr="005204DB" w:rsidRDefault="00F96188" w:rsidP="000B6FB9">
            <w:pPr>
              <w:jc w:val="center"/>
              <w:rPr>
                <w:rFonts w:ascii="Times New Roman" w:hAnsi="Times New Roman" w:cs="Times New Roman"/>
                <w:b/>
                <w:sz w:val="23"/>
                <w:szCs w:val="23"/>
              </w:rPr>
            </w:pPr>
            <w:r w:rsidRPr="005204DB">
              <w:rPr>
                <w:rFonts w:ascii="Times New Roman" w:hAnsi="Times New Roman" w:cs="Times New Roman"/>
                <w:b/>
                <w:sz w:val="23"/>
                <w:szCs w:val="23"/>
              </w:rPr>
              <w:t>2018</w:t>
            </w:r>
          </w:p>
        </w:tc>
        <w:tc>
          <w:tcPr>
            <w:tcW w:w="1260" w:type="dxa"/>
            <w:shd w:val="clear" w:color="auto" w:fill="D0CECE" w:themeFill="background2" w:themeFillShade="E6"/>
            <w:vAlign w:val="center"/>
          </w:tcPr>
          <w:p w:rsidR="00F96188" w:rsidRPr="005204DB" w:rsidRDefault="00F96188" w:rsidP="000B6FB9">
            <w:pPr>
              <w:jc w:val="center"/>
              <w:rPr>
                <w:rFonts w:ascii="Times New Roman" w:hAnsi="Times New Roman" w:cs="Times New Roman"/>
                <w:b/>
                <w:sz w:val="23"/>
                <w:szCs w:val="23"/>
              </w:rPr>
            </w:pPr>
            <w:r w:rsidRPr="005204DB">
              <w:rPr>
                <w:rFonts w:ascii="Times New Roman" w:hAnsi="Times New Roman" w:cs="Times New Roman"/>
                <w:b/>
                <w:sz w:val="23"/>
                <w:szCs w:val="23"/>
              </w:rPr>
              <w:t>2019</w:t>
            </w:r>
          </w:p>
        </w:tc>
        <w:tc>
          <w:tcPr>
            <w:tcW w:w="1073" w:type="dxa"/>
            <w:shd w:val="clear" w:color="auto" w:fill="D0CECE" w:themeFill="background2" w:themeFillShade="E6"/>
            <w:vAlign w:val="center"/>
          </w:tcPr>
          <w:p w:rsidR="00F96188" w:rsidRPr="005204DB" w:rsidRDefault="00F96188" w:rsidP="000B6FB9">
            <w:pPr>
              <w:jc w:val="center"/>
              <w:rPr>
                <w:rFonts w:ascii="Times New Roman" w:hAnsi="Times New Roman" w:cs="Times New Roman"/>
                <w:b/>
                <w:sz w:val="23"/>
                <w:szCs w:val="23"/>
              </w:rPr>
            </w:pPr>
            <w:r w:rsidRPr="005204DB">
              <w:rPr>
                <w:rFonts w:ascii="Times New Roman" w:hAnsi="Times New Roman" w:cs="Times New Roman"/>
                <w:b/>
                <w:sz w:val="23"/>
                <w:szCs w:val="23"/>
              </w:rPr>
              <w:t>2020</w:t>
            </w:r>
          </w:p>
        </w:tc>
      </w:tr>
      <w:tr w:rsidR="00F96188" w:rsidRPr="005204DB" w:rsidTr="006778E9">
        <w:trPr>
          <w:trHeight w:val="432"/>
        </w:trPr>
        <w:tc>
          <w:tcPr>
            <w:tcW w:w="4622" w:type="dxa"/>
            <w:shd w:val="clear" w:color="auto" w:fill="FFFFFF" w:themeFill="background1"/>
            <w:vAlign w:val="center"/>
          </w:tcPr>
          <w:p w:rsidR="00F96188" w:rsidRPr="005204DB" w:rsidRDefault="00F96188" w:rsidP="000B6FB9">
            <w:pPr>
              <w:rPr>
                <w:rFonts w:ascii="Times New Roman" w:hAnsi="Times New Roman" w:cs="Times New Roman"/>
                <w:sz w:val="23"/>
                <w:szCs w:val="23"/>
              </w:rPr>
            </w:pPr>
            <w:r w:rsidRPr="005204DB">
              <w:rPr>
                <w:rFonts w:ascii="Times New Roman" w:hAnsi="Times New Roman" w:cs="Times New Roman"/>
                <w:sz w:val="23"/>
                <w:szCs w:val="23"/>
              </w:rPr>
              <w:t>Number Enrolled</w:t>
            </w:r>
          </w:p>
        </w:tc>
        <w:tc>
          <w:tcPr>
            <w:tcW w:w="1223" w:type="dxa"/>
            <w:shd w:val="clear" w:color="auto" w:fill="FFFFFF" w:themeFill="background1"/>
            <w:vAlign w:val="center"/>
          </w:tcPr>
          <w:p w:rsidR="00F96188" w:rsidRPr="005204DB" w:rsidRDefault="00F96188" w:rsidP="000B6FB9">
            <w:pPr>
              <w:jc w:val="center"/>
              <w:rPr>
                <w:rFonts w:ascii="Times New Roman" w:hAnsi="Times New Roman" w:cs="Times New Roman"/>
                <w:sz w:val="23"/>
                <w:szCs w:val="23"/>
              </w:rPr>
            </w:pPr>
            <w:r w:rsidRPr="005204DB">
              <w:rPr>
                <w:rFonts w:ascii="Times New Roman" w:hAnsi="Times New Roman" w:cs="Times New Roman"/>
                <w:sz w:val="23"/>
                <w:szCs w:val="23"/>
              </w:rPr>
              <w:t>18,206</w:t>
            </w:r>
          </w:p>
        </w:tc>
        <w:tc>
          <w:tcPr>
            <w:tcW w:w="1080" w:type="dxa"/>
            <w:shd w:val="clear" w:color="auto" w:fill="FFFFFF" w:themeFill="background1"/>
            <w:vAlign w:val="center"/>
          </w:tcPr>
          <w:p w:rsidR="00F96188" w:rsidRPr="005204DB" w:rsidRDefault="00F96188" w:rsidP="000B6FB9">
            <w:pPr>
              <w:jc w:val="center"/>
              <w:rPr>
                <w:rFonts w:ascii="Times New Roman" w:hAnsi="Times New Roman" w:cs="Times New Roman"/>
                <w:sz w:val="23"/>
                <w:szCs w:val="23"/>
              </w:rPr>
            </w:pPr>
            <w:r w:rsidRPr="005204DB">
              <w:rPr>
                <w:rFonts w:ascii="Times New Roman" w:hAnsi="Times New Roman" w:cs="Times New Roman"/>
                <w:sz w:val="23"/>
                <w:szCs w:val="23"/>
              </w:rPr>
              <w:t>17,358</w:t>
            </w:r>
          </w:p>
        </w:tc>
        <w:tc>
          <w:tcPr>
            <w:tcW w:w="1260" w:type="dxa"/>
            <w:shd w:val="clear" w:color="auto" w:fill="FFFFFF" w:themeFill="background1"/>
            <w:vAlign w:val="center"/>
          </w:tcPr>
          <w:p w:rsidR="00F96188" w:rsidRPr="005204DB" w:rsidRDefault="00F96188" w:rsidP="000B6FB9">
            <w:pPr>
              <w:jc w:val="center"/>
              <w:rPr>
                <w:rFonts w:ascii="Times New Roman" w:hAnsi="Times New Roman" w:cs="Times New Roman"/>
                <w:sz w:val="23"/>
                <w:szCs w:val="23"/>
              </w:rPr>
            </w:pPr>
            <w:r w:rsidRPr="005204DB">
              <w:rPr>
                <w:rFonts w:ascii="Times New Roman" w:hAnsi="Times New Roman" w:cs="Times New Roman"/>
                <w:sz w:val="23"/>
                <w:szCs w:val="23"/>
              </w:rPr>
              <w:t>15,632</w:t>
            </w:r>
          </w:p>
        </w:tc>
        <w:tc>
          <w:tcPr>
            <w:tcW w:w="1073" w:type="dxa"/>
            <w:shd w:val="clear" w:color="auto" w:fill="FFFFFF" w:themeFill="background1"/>
            <w:vAlign w:val="center"/>
          </w:tcPr>
          <w:p w:rsidR="00F96188" w:rsidRPr="005204DB" w:rsidRDefault="00F96188" w:rsidP="000B6FB9">
            <w:pPr>
              <w:jc w:val="center"/>
              <w:rPr>
                <w:rFonts w:ascii="Times New Roman" w:hAnsi="Times New Roman" w:cs="Times New Roman"/>
                <w:sz w:val="23"/>
                <w:szCs w:val="23"/>
              </w:rPr>
            </w:pPr>
            <w:r w:rsidRPr="005204DB">
              <w:rPr>
                <w:rFonts w:ascii="Times New Roman" w:hAnsi="Times New Roman" w:cs="Times New Roman"/>
                <w:sz w:val="23"/>
                <w:szCs w:val="23"/>
              </w:rPr>
              <w:t>13,074</w:t>
            </w:r>
          </w:p>
        </w:tc>
      </w:tr>
      <w:tr w:rsidR="00F96188" w:rsidRPr="005204DB" w:rsidTr="006778E9">
        <w:trPr>
          <w:trHeight w:val="432"/>
        </w:trPr>
        <w:tc>
          <w:tcPr>
            <w:tcW w:w="4622" w:type="dxa"/>
            <w:shd w:val="clear" w:color="auto" w:fill="FFFFFF" w:themeFill="background1"/>
            <w:vAlign w:val="center"/>
          </w:tcPr>
          <w:p w:rsidR="00F96188" w:rsidRPr="005204DB" w:rsidRDefault="00F96188" w:rsidP="000B6FB9">
            <w:pPr>
              <w:rPr>
                <w:rFonts w:ascii="Times New Roman" w:hAnsi="Times New Roman" w:cs="Times New Roman"/>
                <w:sz w:val="23"/>
                <w:szCs w:val="23"/>
              </w:rPr>
            </w:pPr>
            <w:r w:rsidRPr="005204DB">
              <w:rPr>
                <w:rFonts w:ascii="Times New Roman" w:hAnsi="Times New Roman" w:cs="Times New Roman"/>
                <w:sz w:val="23"/>
                <w:szCs w:val="23"/>
              </w:rPr>
              <w:t>Number Students Post-Tested</w:t>
            </w:r>
          </w:p>
        </w:tc>
        <w:tc>
          <w:tcPr>
            <w:tcW w:w="1223" w:type="dxa"/>
            <w:shd w:val="clear" w:color="auto" w:fill="FFFFFF" w:themeFill="background1"/>
            <w:vAlign w:val="center"/>
          </w:tcPr>
          <w:p w:rsidR="00F96188" w:rsidRPr="005204DB" w:rsidRDefault="00F96188" w:rsidP="000B6FB9">
            <w:pPr>
              <w:jc w:val="center"/>
              <w:rPr>
                <w:rFonts w:ascii="Times New Roman" w:hAnsi="Times New Roman" w:cs="Times New Roman"/>
                <w:sz w:val="23"/>
                <w:szCs w:val="23"/>
              </w:rPr>
            </w:pPr>
            <w:r w:rsidRPr="005204DB">
              <w:rPr>
                <w:rFonts w:ascii="Times New Roman" w:hAnsi="Times New Roman" w:cs="Times New Roman"/>
                <w:sz w:val="23"/>
                <w:szCs w:val="23"/>
              </w:rPr>
              <w:t>12,981</w:t>
            </w:r>
          </w:p>
        </w:tc>
        <w:tc>
          <w:tcPr>
            <w:tcW w:w="1080" w:type="dxa"/>
            <w:shd w:val="clear" w:color="auto" w:fill="FFFFFF" w:themeFill="background1"/>
            <w:vAlign w:val="center"/>
          </w:tcPr>
          <w:p w:rsidR="00F96188" w:rsidRPr="005204DB" w:rsidRDefault="00F96188" w:rsidP="000B6FB9">
            <w:pPr>
              <w:jc w:val="center"/>
              <w:rPr>
                <w:rFonts w:ascii="Times New Roman" w:hAnsi="Times New Roman" w:cs="Times New Roman"/>
                <w:sz w:val="23"/>
                <w:szCs w:val="23"/>
              </w:rPr>
            </w:pPr>
            <w:r w:rsidRPr="005204DB">
              <w:rPr>
                <w:rFonts w:ascii="Times New Roman" w:hAnsi="Times New Roman" w:cs="Times New Roman"/>
                <w:sz w:val="23"/>
                <w:szCs w:val="23"/>
              </w:rPr>
              <w:t>12,213</w:t>
            </w:r>
          </w:p>
        </w:tc>
        <w:tc>
          <w:tcPr>
            <w:tcW w:w="1260" w:type="dxa"/>
            <w:shd w:val="clear" w:color="auto" w:fill="FFFFFF" w:themeFill="background1"/>
            <w:vAlign w:val="center"/>
          </w:tcPr>
          <w:p w:rsidR="00F96188" w:rsidRPr="005204DB" w:rsidRDefault="00F96188" w:rsidP="000B6FB9">
            <w:pPr>
              <w:jc w:val="center"/>
              <w:rPr>
                <w:rFonts w:ascii="Times New Roman" w:hAnsi="Times New Roman" w:cs="Times New Roman"/>
                <w:sz w:val="23"/>
                <w:szCs w:val="23"/>
              </w:rPr>
            </w:pPr>
            <w:r w:rsidRPr="005204DB">
              <w:rPr>
                <w:rFonts w:ascii="Times New Roman" w:hAnsi="Times New Roman" w:cs="Times New Roman"/>
                <w:sz w:val="23"/>
                <w:szCs w:val="23"/>
              </w:rPr>
              <w:t>10,898</w:t>
            </w:r>
          </w:p>
        </w:tc>
        <w:tc>
          <w:tcPr>
            <w:tcW w:w="1073" w:type="dxa"/>
            <w:shd w:val="clear" w:color="auto" w:fill="FFFFFF" w:themeFill="background1"/>
            <w:vAlign w:val="center"/>
          </w:tcPr>
          <w:p w:rsidR="00F96188" w:rsidRPr="005204DB" w:rsidRDefault="00F96188" w:rsidP="000B6FB9">
            <w:pPr>
              <w:jc w:val="center"/>
              <w:rPr>
                <w:rFonts w:ascii="Times New Roman" w:hAnsi="Times New Roman" w:cs="Times New Roman"/>
                <w:sz w:val="23"/>
                <w:szCs w:val="23"/>
              </w:rPr>
            </w:pPr>
            <w:r w:rsidRPr="005204DB">
              <w:rPr>
                <w:rFonts w:ascii="Times New Roman" w:hAnsi="Times New Roman" w:cs="Times New Roman"/>
                <w:sz w:val="23"/>
                <w:szCs w:val="23"/>
              </w:rPr>
              <w:t>8382</w:t>
            </w:r>
          </w:p>
        </w:tc>
      </w:tr>
      <w:tr w:rsidR="00F96188" w:rsidRPr="005204DB" w:rsidTr="006778E9">
        <w:trPr>
          <w:trHeight w:val="432"/>
        </w:trPr>
        <w:tc>
          <w:tcPr>
            <w:tcW w:w="4622" w:type="dxa"/>
            <w:shd w:val="clear" w:color="auto" w:fill="FFFFFF" w:themeFill="background1"/>
            <w:vAlign w:val="center"/>
          </w:tcPr>
          <w:p w:rsidR="00F96188" w:rsidRPr="005204DB" w:rsidRDefault="00F96188" w:rsidP="000B6FB9">
            <w:pPr>
              <w:rPr>
                <w:rFonts w:ascii="Times New Roman" w:hAnsi="Times New Roman" w:cs="Times New Roman"/>
                <w:sz w:val="23"/>
                <w:szCs w:val="23"/>
              </w:rPr>
            </w:pPr>
            <w:r w:rsidRPr="005204DB">
              <w:rPr>
                <w:rFonts w:ascii="Times New Roman" w:hAnsi="Times New Roman" w:cs="Times New Roman"/>
                <w:sz w:val="23"/>
                <w:szCs w:val="23"/>
              </w:rPr>
              <w:t>Percent Students Post-Tested</w:t>
            </w:r>
          </w:p>
        </w:tc>
        <w:tc>
          <w:tcPr>
            <w:tcW w:w="1223" w:type="dxa"/>
            <w:shd w:val="clear" w:color="auto" w:fill="FFFFFF" w:themeFill="background1"/>
            <w:vAlign w:val="center"/>
          </w:tcPr>
          <w:p w:rsidR="00F96188" w:rsidRPr="005204DB" w:rsidRDefault="00F96188" w:rsidP="000B6FB9">
            <w:pPr>
              <w:jc w:val="center"/>
              <w:rPr>
                <w:rFonts w:ascii="Times New Roman" w:hAnsi="Times New Roman" w:cs="Times New Roman"/>
                <w:sz w:val="23"/>
                <w:szCs w:val="23"/>
              </w:rPr>
            </w:pPr>
            <w:r w:rsidRPr="005204DB">
              <w:rPr>
                <w:rFonts w:ascii="Times New Roman" w:hAnsi="Times New Roman" w:cs="Times New Roman"/>
                <w:sz w:val="23"/>
                <w:szCs w:val="23"/>
              </w:rPr>
              <w:t>71%</w:t>
            </w:r>
          </w:p>
        </w:tc>
        <w:tc>
          <w:tcPr>
            <w:tcW w:w="1080" w:type="dxa"/>
            <w:shd w:val="clear" w:color="auto" w:fill="FFFFFF" w:themeFill="background1"/>
            <w:vAlign w:val="center"/>
          </w:tcPr>
          <w:p w:rsidR="00F96188" w:rsidRPr="005204DB" w:rsidRDefault="00F96188" w:rsidP="000B6FB9">
            <w:pPr>
              <w:jc w:val="center"/>
              <w:rPr>
                <w:rFonts w:ascii="Times New Roman" w:hAnsi="Times New Roman" w:cs="Times New Roman"/>
                <w:sz w:val="23"/>
                <w:szCs w:val="23"/>
              </w:rPr>
            </w:pPr>
            <w:r w:rsidRPr="005204DB">
              <w:rPr>
                <w:rFonts w:ascii="Times New Roman" w:hAnsi="Times New Roman" w:cs="Times New Roman"/>
                <w:sz w:val="23"/>
                <w:szCs w:val="23"/>
              </w:rPr>
              <w:t>70%</w:t>
            </w:r>
          </w:p>
        </w:tc>
        <w:tc>
          <w:tcPr>
            <w:tcW w:w="1260" w:type="dxa"/>
            <w:shd w:val="clear" w:color="auto" w:fill="FFFFFF" w:themeFill="background1"/>
            <w:vAlign w:val="center"/>
          </w:tcPr>
          <w:p w:rsidR="00F96188" w:rsidRPr="005204DB" w:rsidRDefault="00F96188" w:rsidP="000B6FB9">
            <w:pPr>
              <w:jc w:val="center"/>
              <w:rPr>
                <w:rFonts w:ascii="Times New Roman" w:hAnsi="Times New Roman" w:cs="Times New Roman"/>
                <w:sz w:val="23"/>
                <w:szCs w:val="23"/>
              </w:rPr>
            </w:pPr>
            <w:r w:rsidRPr="005204DB">
              <w:rPr>
                <w:rFonts w:ascii="Times New Roman" w:hAnsi="Times New Roman" w:cs="Times New Roman"/>
                <w:sz w:val="23"/>
                <w:szCs w:val="23"/>
              </w:rPr>
              <w:t>70%</w:t>
            </w:r>
          </w:p>
        </w:tc>
        <w:tc>
          <w:tcPr>
            <w:tcW w:w="1073" w:type="dxa"/>
            <w:shd w:val="clear" w:color="auto" w:fill="FFFFFF" w:themeFill="background1"/>
            <w:vAlign w:val="center"/>
          </w:tcPr>
          <w:p w:rsidR="00F96188" w:rsidRPr="005204DB" w:rsidRDefault="00F96188" w:rsidP="000B6FB9">
            <w:pPr>
              <w:jc w:val="center"/>
              <w:rPr>
                <w:rFonts w:ascii="Times New Roman" w:hAnsi="Times New Roman" w:cs="Times New Roman"/>
                <w:sz w:val="23"/>
                <w:szCs w:val="23"/>
              </w:rPr>
            </w:pPr>
            <w:r w:rsidRPr="005204DB">
              <w:rPr>
                <w:rFonts w:ascii="Times New Roman" w:hAnsi="Times New Roman" w:cs="Times New Roman"/>
                <w:sz w:val="23"/>
                <w:szCs w:val="23"/>
              </w:rPr>
              <w:t>64%</w:t>
            </w:r>
          </w:p>
        </w:tc>
      </w:tr>
      <w:tr w:rsidR="00F96188" w:rsidRPr="005204DB" w:rsidTr="006778E9">
        <w:trPr>
          <w:trHeight w:val="432"/>
        </w:trPr>
        <w:tc>
          <w:tcPr>
            <w:tcW w:w="4622" w:type="dxa"/>
            <w:shd w:val="clear" w:color="auto" w:fill="FFFFFF" w:themeFill="background1"/>
            <w:vAlign w:val="center"/>
          </w:tcPr>
          <w:p w:rsidR="00F96188" w:rsidRPr="005204DB" w:rsidRDefault="00F96188" w:rsidP="000B6FB9">
            <w:pPr>
              <w:rPr>
                <w:rFonts w:ascii="Times New Roman" w:hAnsi="Times New Roman" w:cs="Times New Roman"/>
                <w:sz w:val="23"/>
                <w:szCs w:val="23"/>
              </w:rPr>
            </w:pPr>
            <w:r w:rsidRPr="005204DB">
              <w:rPr>
                <w:rFonts w:ascii="Times New Roman" w:hAnsi="Times New Roman" w:cs="Times New Roman"/>
                <w:sz w:val="23"/>
                <w:szCs w:val="23"/>
              </w:rPr>
              <w:t>Post-Tested Students Making Academic Gain</w:t>
            </w:r>
          </w:p>
        </w:tc>
        <w:tc>
          <w:tcPr>
            <w:tcW w:w="1223" w:type="dxa"/>
            <w:shd w:val="clear" w:color="auto" w:fill="FFFFFF" w:themeFill="background1"/>
            <w:vAlign w:val="center"/>
          </w:tcPr>
          <w:p w:rsidR="00F96188" w:rsidRPr="005204DB" w:rsidRDefault="00F96188" w:rsidP="000B6FB9">
            <w:pPr>
              <w:jc w:val="center"/>
              <w:rPr>
                <w:rFonts w:ascii="Times New Roman" w:hAnsi="Times New Roman" w:cs="Times New Roman"/>
                <w:sz w:val="23"/>
                <w:szCs w:val="23"/>
              </w:rPr>
            </w:pPr>
            <w:r w:rsidRPr="005204DB">
              <w:rPr>
                <w:rFonts w:ascii="Times New Roman" w:hAnsi="Times New Roman" w:cs="Times New Roman"/>
                <w:sz w:val="23"/>
                <w:szCs w:val="23"/>
              </w:rPr>
              <w:t>87%</w:t>
            </w:r>
          </w:p>
        </w:tc>
        <w:tc>
          <w:tcPr>
            <w:tcW w:w="1080" w:type="dxa"/>
            <w:shd w:val="clear" w:color="auto" w:fill="FFFFFF" w:themeFill="background1"/>
            <w:vAlign w:val="center"/>
          </w:tcPr>
          <w:p w:rsidR="00F96188" w:rsidRPr="005204DB" w:rsidRDefault="00F96188" w:rsidP="000B6FB9">
            <w:pPr>
              <w:jc w:val="center"/>
              <w:rPr>
                <w:rFonts w:ascii="Times New Roman" w:hAnsi="Times New Roman" w:cs="Times New Roman"/>
                <w:sz w:val="23"/>
                <w:szCs w:val="23"/>
              </w:rPr>
            </w:pPr>
            <w:r w:rsidRPr="005204DB">
              <w:rPr>
                <w:rFonts w:ascii="Times New Roman" w:hAnsi="Times New Roman" w:cs="Times New Roman"/>
                <w:sz w:val="23"/>
                <w:szCs w:val="23"/>
              </w:rPr>
              <w:t>87%</w:t>
            </w:r>
          </w:p>
        </w:tc>
        <w:tc>
          <w:tcPr>
            <w:tcW w:w="1260" w:type="dxa"/>
            <w:shd w:val="clear" w:color="auto" w:fill="FFFFFF" w:themeFill="background1"/>
            <w:vAlign w:val="center"/>
          </w:tcPr>
          <w:p w:rsidR="00F96188" w:rsidRPr="005204DB" w:rsidRDefault="00F96188" w:rsidP="000B6FB9">
            <w:pPr>
              <w:jc w:val="center"/>
              <w:rPr>
                <w:rFonts w:ascii="Times New Roman" w:hAnsi="Times New Roman" w:cs="Times New Roman"/>
                <w:sz w:val="23"/>
                <w:szCs w:val="23"/>
              </w:rPr>
            </w:pPr>
            <w:r w:rsidRPr="005204DB">
              <w:rPr>
                <w:rFonts w:ascii="Times New Roman" w:hAnsi="Times New Roman" w:cs="Times New Roman"/>
                <w:sz w:val="23"/>
                <w:szCs w:val="23"/>
              </w:rPr>
              <w:t>82%</w:t>
            </w:r>
          </w:p>
        </w:tc>
        <w:tc>
          <w:tcPr>
            <w:tcW w:w="1073" w:type="dxa"/>
            <w:shd w:val="clear" w:color="auto" w:fill="FFFFFF" w:themeFill="background1"/>
            <w:vAlign w:val="center"/>
          </w:tcPr>
          <w:p w:rsidR="00F96188" w:rsidRPr="005204DB" w:rsidRDefault="00F96188" w:rsidP="000B6FB9">
            <w:pPr>
              <w:jc w:val="center"/>
              <w:rPr>
                <w:rFonts w:ascii="Times New Roman" w:hAnsi="Times New Roman" w:cs="Times New Roman"/>
                <w:sz w:val="23"/>
                <w:szCs w:val="23"/>
              </w:rPr>
            </w:pPr>
            <w:r w:rsidRPr="005204DB">
              <w:rPr>
                <w:rFonts w:ascii="Times New Roman" w:hAnsi="Times New Roman" w:cs="Times New Roman"/>
                <w:sz w:val="23"/>
                <w:szCs w:val="23"/>
              </w:rPr>
              <w:t>77%</w:t>
            </w:r>
          </w:p>
        </w:tc>
      </w:tr>
      <w:tr w:rsidR="00F96188" w:rsidRPr="005204DB" w:rsidTr="006778E9">
        <w:trPr>
          <w:trHeight w:val="432"/>
        </w:trPr>
        <w:tc>
          <w:tcPr>
            <w:tcW w:w="4622" w:type="dxa"/>
            <w:shd w:val="clear" w:color="auto" w:fill="FFFFFF" w:themeFill="background1"/>
            <w:vAlign w:val="center"/>
          </w:tcPr>
          <w:p w:rsidR="00F96188" w:rsidRPr="005204DB" w:rsidRDefault="00F96188" w:rsidP="000B6FB9">
            <w:pPr>
              <w:rPr>
                <w:rFonts w:ascii="Times New Roman" w:hAnsi="Times New Roman" w:cs="Times New Roman"/>
                <w:sz w:val="23"/>
                <w:szCs w:val="23"/>
              </w:rPr>
            </w:pPr>
            <w:r w:rsidRPr="005204DB">
              <w:rPr>
                <w:rFonts w:ascii="Times New Roman" w:hAnsi="Times New Roman" w:cs="Times New Roman"/>
                <w:sz w:val="23"/>
                <w:szCs w:val="23"/>
              </w:rPr>
              <w:t>Measurable Skill Gains %</w:t>
            </w:r>
          </w:p>
        </w:tc>
        <w:tc>
          <w:tcPr>
            <w:tcW w:w="1223" w:type="dxa"/>
            <w:shd w:val="clear" w:color="auto" w:fill="FFFFFF" w:themeFill="background1"/>
            <w:vAlign w:val="center"/>
          </w:tcPr>
          <w:p w:rsidR="00F96188" w:rsidRPr="005204DB" w:rsidRDefault="00F96188" w:rsidP="000B6FB9">
            <w:pPr>
              <w:jc w:val="center"/>
              <w:rPr>
                <w:rFonts w:ascii="Times New Roman" w:hAnsi="Times New Roman" w:cs="Times New Roman"/>
                <w:sz w:val="23"/>
                <w:szCs w:val="23"/>
              </w:rPr>
            </w:pPr>
            <w:r w:rsidRPr="005204DB">
              <w:rPr>
                <w:rFonts w:ascii="Times New Roman" w:hAnsi="Times New Roman" w:cs="Times New Roman"/>
                <w:sz w:val="23"/>
                <w:szCs w:val="23"/>
              </w:rPr>
              <w:t>65%</w:t>
            </w:r>
          </w:p>
        </w:tc>
        <w:tc>
          <w:tcPr>
            <w:tcW w:w="1080" w:type="dxa"/>
            <w:shd w:val="clear" w:color="auto" w:fill="FFFFFF" w:themeFill="background1"/>
            <w:vAlign w:val="center"/>
          </w:tcPr>
          <w:p w:rsidR="00F96188" w:rsidRPr="005204DB" w:rsidRDefault="00F96188" w:rsidP="000B6FB9">
            <w:pPr>
              <w:jc w:val="center"/>
              <w:rPr>
                <w:rFonts w:ascii="Times New Roman" w:hAnsi="Times New Roman" w:cs="Times New Roman"/>
                <w:sz w:val="23"/>
                <w:szCs w:val="23"/>
              </w:rPr>
            </w:pPr>
            <w:r w:rsidRPr="005204DB">
              <w:rPr>
                <w:rFonts w:ascii="Times New Roman" w:hAnsi="Times New Roman" w:cs="Times New Roman"/>
                <w:sz w:val="23"/>
                <w:szCs w:val="23"/>
              </w:rPr>
              <w:t>63%</w:t>
            </w:r>
          </w:p>
        </w:tc>
        <w:tc>
          <w:tcPr>
            <w:tcW w:w="1260" w:type="dxa"/>
            <w:shd w:val="clear" w:color="auto" w:fill="FFFFFF" w:themeFill="background1"/>
            <w:vAlign w:val="center"/>
          </w:tcPr>
          <w:p w:rsidR="00F96188" w:rsidRPr="005204DB" w:rsidRDefault="00F96188" w:rsidP="000B6FB9">
            <w:pPr>
              <w:jc w:val="center"/>
              <w:rPr>
                <w:rFonts w:ascii="Times New Roman" w:hAnsi="Times New Roman" w:cs="Times New Roman"/>
                <w:sz w:val="23"/>
                <w:szCs w:val="23"/>
              </w:rPr>
            </w:pPr>
            <w:r w:rsidRPr="005204DB">
              <w:rPr>
                <w:rFonts w:ascii="Times New Roman" w:hAnsi="Times New Roman" w:cs="Times New Roman"/>
                <w:sz w:val="23"/>
                <w:szCs w:val="23"/>
              </w:rPr>
              <w:t>60%</w:t>
            </w:r>
          </w:p>
        </w:tc>
        <w:tc>
          <w:tcPr>
            <w:tcW w:w="1073" w:type="dxa"/>
            <w:shd w:val="clear" w:color="auto" w:fill="FFFFFF" w:themeFill="background1"/>
            <w:vAlign w:val="center"/>
          </w:tcPr>
          <w:p w:rsidR="00F96188" w:rsidRPr="005204DB" w:rsidRDefault="00F96188" w:rsidP="000B6FB9">
            <w:pPr>
              <w:jc w:val="center"/>
              <w:rPr>
                <w:rFonts w:ascii="Times New Roman" w:hAnsi="Times New Roman" w:cs="Times New Roman"/>
                <w:sz w:val="23"/>
                <w:szCs w:val="23"/>
              </w:rPr>
            </w:pPr>
            <w:r w:rsidRPr="005204DB">
              <w:rPr>
                <w:rFonts w:ascii="Times New Roman" w:hAnsi="Times New Roman" w:cs="Times New Roman"/>
                <w:sz w:val="23"/>
                <w:szCs w:val="23"/>
              </w:rPr>
              <w:t>53%</w:t>
            </w:r>
          </w:p>
        </w:tc>
      </w:tr>
    </w:tbl>
    <w:p w:rsidR="00F96188" w:rsidRPr="005204DB" w:rsidRDefault="00F96188" w:rsidP="000B6FB9">
      <w:pPr>
        <w:pStyle w:val="NoSpacing"/>
        <w:rPr>
          <w:rFonts w:ascii="Times New Roman" w:hAnsi="Times New Roman" w:cs="Times New Roman"/>
          <w:sz w:val="23"/>
          <w:szCs w:val="23"/>
        </w:rPr>
      </w:pPr>
      <w:r w:rsidRPr="005204DB">
        <w:rPr>
          <w:rFonts w:ascii="Times New Roman" w:hAnsi="Times New Roman" w:cs="Times New Roman"/>
          <w:b/>
          <w:sz w:val="23"/>
          <w:szCs w:val="23"/>
        </w:rPr>
        <w:t xml:space="preserve"> Performance Measure – Employment Second Quarter after exit:</w:t>
      </w:r>
      <w:r w:rsidRPr="005204DB">
        <w:rPr>
          <w:rFonts w:ascii="Times New Roman" w:hAnsi="Times New Roman" w:cs="Times New Roman"/>
          <w:sz w:val="23"/>
          <w:szCs w:val="23"/>
        </w:rPr>
        <w:t xml:space="preserve">  44.3%</w:t>
      </w:r>
    </w:p>
    <w:p w:rsidR="00F96188" w:rsidRPr="005204DB" w:rsidRDefault="00F96188" w:rsidP="000B6FB9">
      <w:pPr>
        <w:pStyle w:val="NoSpacing"/>
        <w:rPr>
          <w:rFonts w:ascii="Times New Roman" w:hAnsi="Times New Roman" w:cs="Times New Roman"/>
          <w:sz w:val="23"/>
          <w:szCs w:val="23"/>
        </w:rPr>
      </w:pPr>
      <w:r w:rsidRPr="005204DB">
        <w:rPr>
          <w:rFonts w:ascii="Times New Roman" w:hAnsi="Times New Roman" w:cs="Times New Roman"/>
          <w:b/>
          <w:sz w:val="23"/>
          <w:szCs w:val="23"/>
        </w:rPr>
        <w:t xml:space="preserve"> Pe</w:t>
      </w:r>
      <w:r w:rsidR="00BA361A">
        <w:rPr>
          <w:rFonts w:ascii="Times New Roman" w:hAnsi="Times New Roman" w:cs="Times New Roman"/>
          <w:b/>
          <w:sz w:val="23"/>
          <w:szCs w:val="23"/>
        </w:rPr>
        <w:t>rformance Measure – Employment Fourth Q</w:t>
      </w:r>
      <w:r w:rsidRPr="005204DB">
        <w:rPr>
          <w:rFonts w:ascii="Times New Roman" w:hAnsi="Times New Roman" w:cs="Times New Roman"/>
          <w:b/>
          <w:sz w:val="23"/>
          <w:szCs w:val="23"/>
        </w:rPr>
        <w:t>uarter after exit</w:t>
      </w:r>
      <w:r w:rsidRPr="005204DB">
        <w:rPr>
          <w:rFonts w:ascii="Times New Roman" w:hAnsi="Times New Roman" w:cs="Times New Roman"/>
          <w:sz w:val="23"/>
          <w:szCs w:val="23"/>
        </w:rPr>
        <w:t>:  44.3%</w:t>
      </w:r>
    </w:p>
    <w:p w:rsidR="00F96188" w:rsidRPr="005204DB" w:rsidRDefault="00F96188" w:rsidP="000B6FB9">
      <w:pPr>
        <w:pStyle w:val="NoSpacing"/>
        <w:rPr>
          <w:rFonts w:ascii="Times New Roman" w:hAnsi="Times New Roman" w:cs="Times New Roman"/>
          <w:sz w:val="23"/>
          <w:szCs w:val="23"/>
        </w:rPr>
      </w:pPr>
      <w:r w:rsidRPr="005204DB">
        <w:rPr>
          <w:rFonts w:ascii="Times New Roman" w:hAnsi="Times New Roman" w:cs="Times New Roman"/>
          <w:b/>
          <w:sz w:val="23"/>
          <w:szCs w:val="23"/>
        </w:rPr>
        <w:t xml:space="preserve"> Performance Measure – Median Earnings</w:t>
      </w:r>
      <w:r w:rsidRPr="005204DB">
        <w:rPr>
          <w:rFonts w:ascii="Times New Roman" w:hAnsi="Times New Roman" w:cs="Times New Roman"/>
          <w:sz w:val="23"/>
          <w:szCs w:val="23"/>
        </w:rPr>
        <w:t>:  $4538.94</w:t>
      </w:r>
    </w:p>
    <w:p w:rsidR="00F96188" w:rsidRPr="005204DB" w:rsidRDefault="00F96188" w:rsidP="000B6FB9">
      <w:pPr>
        <w:pStyle w:val="NoSpacing"/>
        <w:rPr>
          <w:rFonts w:ascii="Times New Roman" w:hAnsi="Times New Roman" w:cs="Times New Roman"/>
          <w:sz w:val="23"/>
          <w:szCs w:val="23"/>
        </w:rPr>
      </w:pPr>
      <w:r w:rsidRPr="005204DB">
        <w:rPr>
          <w:rFonts w:ascii="Times New Roman" w:hAnsi="Times New Roman" w:cs="Times New Roman"/>
          <w:b/>
          <w:sz w:val="23"/>
          <w:szCs w:val="23"/>
        </w:rPr>
        <w:t xml:space="preserve"> Performance Measure – Credential Attainment</w:t>
      </w:r>
      <w:r w:rsidRPr="005204DB">
        <w:rPr>
          <w:rFonts w:ascii="Times New Roman" w:hAnsi="Times New Roman" w:cs="Times New Roman"/>
          <w:sz w:val="23"/>
          <w:szCs w:val="23"/>
        </w:rPr>
        <w:t>:  47.1%</w:t>
      </w:r>
    </w:p>
    <w:p w:rsidR="00F96188" w:rsidRPr="005204DB" w:rsidRDefault="00F96188" w:rsidP="000B6FB9">
      <w:pPr>
        <w:spacing w:after="0" w:line="240" w:lineRule="auto"/>
        <w:rPr>
          <w:rFonts w:ascii="Times New Roman" w:eastAsiaTheme="minorEastAsia" w:hAnsi="Times New Roman" w:cs="Times New Roman"/>
          <w:b/>
          <w:bCs/>
          <w:smallCaps/>
          <w:sz w:val="23"/>
          <w:szCs w:val="23"/>
        </w:rPr>
      </w:pPr>
    </w:p>
    <w:p w:rsidR="00F96188" w:rsidRPr="005204DB" w:rsidRDefault="00F96188" w:rsidP="000B6FB9">
      <w:pPr>
        <w:spacing w:after="0" w:line="240" w:lineRule="auto"/>
        <w:rPr>
          <w:rFonts w:ascii="Times New Roman" w:eastAsiaTheme="minorEastAsia" w:hAnsi="Times New Roman" w:cs="Times New Roman"/>
          <w:b/>
          <w:sz w:val="23"/>
          <w:szCs w:val="23"/>
        </w:rPr>
      </w:pPr>
      <w:r w:rsidRPr="005204DB">
        <w:rPr>
          <w:rFonts w:ascii="Times New Roman" w:eastAsiaTheme="minorEastAsia" w:hAnsi="Times New Roman" w:cs="Times New Roman"/>
          <w:b/>
          <w:sz w:val="23"/>
          <w:szCs w:val="23"/>
        </w:rPr>
        <w:t>Efforts to Improve Quality, Effectiveness and Outcome Performance</w:t>
      </w:r>
    </w:p>
    <w:p w:rsidR="00F96188" w:rsidRPr="005204DB" w:rsidRDefault="00F96188" w:rsidP="000B6FB9">
      <w:pPr>
        <w:keepLines/>
        <w:spacing w:after="0" w:line="240" w:lineRule="auto"/>
        <w:outlineLvl w:val="2"/>
        <w:rPr>
          <w:rFonts w:ascii="Times New Roman" w:eastAsia="Arial Unicode MS" w:hAnsi="Times New Roman" w:cs="Times New Roman"/>
          <w:sz w:val="23"/>
          <w:szCs w:val="23"/>
        </w:rPr>
      </w:pPr>
      <w:r w:rsidRPr="005204DB">
        <w:rPr>
          <w:rFonts w:ascii="Times New Roman" w:eastAsia="Arial Unicode MS" w:hAnsi="Times New Roman" w:cs="Times New Roman"/>
          <w:sz w:val="23"/>
          <w:szCs w:val="23"/>
        </w:rPr>
        <w:lastRenderedPageBreak/>
        <w:t xml:space="preserve">Missouri continues to emphasize program improvement and has taken many steps to </w:t>
      </w:r>
      <w:r w:rsidR="00721275" w:rsidRPr="005204DB">
        <w:rPr>
          <w:rFonts w:ascii="Times New Roman" w:eastAsia="Arial Unicode MS" w:hAnsi="Times New Roman" w:cs="Times New Roman"/>
          <w:sz w:val="23"/>
          <w:szCs w:val="23"/>
        </w:rPr>
        <w:t>improve</w:t>
      </w:r>
      <w:r w:rsidRPr="005204DB">
        <w:rPr>
          <w:rFonts w:ascii="Times New Roman" w:eastAsia="Arial Unicode MS" w:hAnsi="Times New Roman" w:cs="Times New Roman"/>
          <w:sz w:val="23"/>
          <w:szCs w:val="23"/>
        </w:rPr>
        <w:t xml:space="preserve"> performance</w:t>
      </w:r>
      <w:r w:rsidR="00721275" w:rsidRPr="005204DB">
        <w:rPr>
          <w:rFonts w:ascii="Times New Roman" w:eastAsia="Arial Unicode MS" w:hAnsi="Times New Roman" w:cs="Times New Roman"/>
          <w:sz w:val="23"/>
          <w:szCs w:val="23"/>
        </w:rPr>
        <w:t xml:space="preserve"> outcomes in</w:t>
      </w:r>
      <w:r w:rsidRPr="005204DB">
        <w:rPr>
          <w:rFonts w:ascii="Times New Roman" w:eastAsia="Arial Unicode MS" w:hAnsi="Times New Roman" w:cs="Times New Roman"/>
          <w:sz w:val="23"/>
          <w:szCs w:val="23"/>
        </w:rPr>
        <w:t xml:space="preserve"> our local programs. This year Missouri provided ongoing technical assistance to programs concerning academic </w:t>
      </w:r>
      <w:r w:rsidR="00721275" w:rsidRPr="005204DB">
        <w:rPr>
          <w:rFonts w:ascii="Times New Roman" w:eastAsia="Arial Unicode MS" w:hAnsi="Times New Roman" w:cs="Times New Roman"/>
          <w:sz w:val="23"/>
          <w:szCs w:val="23"/>
        </w:rPr>
        <w:t>gain, number of students served</w:t>
      </w:r>
      <w:r w:rsidRPr="005204DB">
        <w:rPr>
          <w:rFonts w:ascii="Times New Roman" w:eastAsia="Arial Unicode MS" w:hAnsi="Times New Roman" w:cs="Times New Roman"/>
          <w:sz w:val="23"/>
          <w:szCs w:val="23"/>
        </w:rPr>
        <w:t xml:space="preserve"> and cost per student. Local programs are expected to serve a proportionate number of students in relation to the funds spent. </w:t>
      </w:r>
      <w:r w:rsidR="00721275" w:rsidRPr="005204DB">
        <w:rPr>
          <w:rFonts w:ascii="Times New Roman" w:eastAsia="Arial Unicode MS" w:hAnsi="Times New Roman" w:cs="Times New Roman"/>
          <w:sz w:val="23"/>
          <w:szCs w:val="23"/>
        </w:rPr>
        <w:t>DESE AEL emphasizes that programs must</w:t>
      </w:r>
      <w:r w:rsidRPr="005204DB">
        <w:rPr>
          <w:rFonts w:ascii="Times New Roman" w:eastAsia="Arial Unicode MS" w:hAnsi="Times New Roman" w:cs="Times New Roman"/>
          <w:sz w:val="23"/>
          <w:szCs w:val="23"/>
        </w:rPr>
        <w:t xml:space="preserve"> look at the data as a whole to make sure resources are being used as efficiently and effectively as possible.  Throughout the year, there are communications between </w:t>
      </w:r>
      <w:r w:rsidR="00721275" w:rsidRPr="005204DB">
        <w:rPr>
          <w:rFonts w:ascii="Times New Roman" w:eastAsia="Arial Unicode MS" w:hAnsi="Times New Roman" w:cs="Times New Roman"/>
          <w:sz w:val="23"/>
          <w:szCs w:val="23"/>
        </w:rPr>
        <w:t>DESE AEL</w:t>
      </w:r>
      <w:r w:rsidRPr="005204DB">
        <w:rPr>
          <w:rFonts w:ascii="Times New Roman" w:eastAsia="Arial Unicode MS" w:hAnsi="Times New Roman" w:cs="Times New Roman"/>
          <w:sz w:val="23"/>
          <w:szCs w:val="23"/>
        </w:rPr>
        <w:t xml:space="preserve"> and the local programs regarding data quality, program effectiveness and performance. This year, </w:t>
      </w:r>
      <w:r w:rsidR="002A69B7" w:rsidRPr="005204DB">
        <w:rPr>
          <w:rFonts w:ascii="Times New Roman" w:eastAsia="Arial Unicode MS" w:hAnsi="Times New Roman" w:cs="Times New Roman"/>
          <w:sz w:val="23"/>
          <w:szCs w:val="23"/>
        </w:rPr>
        <w:t>DESE AEL</w:t>
      </w:r>
      <w:r w:rsidRPr="005204DB">
        <w:rPr>
          <w:rFonts w:ascii="Times New Roman" w:eastAsia="Arial Unicode MS" w:hAnsi="Times New Roman" w:cs="Times New Roman"/>
          <w:sz w:val="23"/>
          <w:szCs w:val="23"/>
        </w:rPr>
        <w:t xml:space="preserve"> conducted</w:t>
      </w:r>
      <w:r w:rsidR="00172C97" w:rsidRPr="005204DB">
        <w:rPr>
          <w:rFonts w:ascii="Times New Roman" w:eastAsia="Arial Unicode MS" w:hAnsi="Times New Roman" w:cs="Times New Roman"/>
          <w:sz w:val="23"/>
          <w:szCs w:val="23"/>
        </w:rPr>
        <w:t xml:space="preserve"> one</w:t>
      </w:r>
      <w:r w:rsidRPr="005204DB">
        <w:rPr>
          <w:rFonts w:ascii="Times New Roman" w:eastAsia="Arial Unicode MS" w:hAnsi="Times New Roman" w:cs="Times New Roman"/>
          <w:sz w:val="23"/>
          <w:szCs w:val="23"/>
        </w:rPr>
        <w:t xml:space="preserve"> on-s</w:t>
      </w:r>
      <w:r w:rsidR="00721275" w:rsidRPr="005204DB">
        <w:rPr>
          <w:rFonts w:ascii="Times New Roman" w:eastAsia="Arial Unicode MS" w:hAnsi="Times New Roman" w:cs="Times New Roman"/>
          <w:sz w:val="23"/>
          <w:szCs w:val="23"/>
        </w:rPr>
        <w:t>ite technical assistance v</w:t>
      </w:r>
      <w:r w:rsidR="00172C97" w:rsidRPr="005204DB">
        <w:rPr>
          <w:rFonts w:ascii="Times New Roman" w:eastAsia="Arial Unicode MS" w:hAnsi="Times New Roman" w:cs="Times New Roman"/>
          <w:sz w:val="23"/>
          <w:szCs w:val="23"/>
        </w:rPr>
        <w:t>isit</w:t>
      </w:r>
      <w:r w:rsidRPr="005204DB">
        <w:rPr>
          <w:rFonts w:ascii="Times New Roman" w:eastAsia="Arial Unicode MS" w:hAnsi="Times New Roman" w:cs="Times New Roman"/>
          <w:sz w:val="23"/>
          <w:szCs w:val="23"/>
        </w:rPr>
        <w:t>.</w:t>
      </w:r>
    </w:p>
    <w:p w:rsidR="00F96188" w:rsidRPr="005204DB" w:rsidRDefault="00F96188" w:rsidP="000B6FB9">
      <w:pPr>
        <w:spacing w:before="200" w:after="200" w:line="240" w:lineRule="auto"/>
        <w:rPr>
          <w:rFonts w:ascii="Times New Roman" w:eastAsiaTheme="minorEastAsia" w:hAnsi="Times New Roman" w:cs="Times New Roman"/>
          <w:color w:val="000000" w:themeColor="text1"/>
          <w:sz w:val="23"/>
          <w:szCs w:val="23"/>
        </w:rPr>
      </w:pPr>
      <w:r w:rsidRPr="005204DB">
        <w:rPr>
          <w:rFonts w:ascii="Times New Roman" w:eastAsiaTheme="minorEastAsia" w:hAnsi="Times New Roman" w:cs="Times New Roman"/>
          <w:color w:val="000000" w:themeColor="text1"/>
          <w:sz w:val="23"/>
          <w:szCs w:val="23"/>
        </w:rPr>
        <w:t xml:space="preserve">In addition to providing technical assistance, Missouri completed </w:t>
      </w:r>
      <w:r w:rsidR="00172C97" w:rsidRPr="005204DB">
        <w:rPr>
          <w:rFonts w:ascii="Times New Roman" w:eastAsiaTheme="minorEastAsia" w:hAnsi="Times New Roman" w:cs="Times New Roman"/>
          <w:color w:val="000000" w:themeColor="text1"/>
          <w:sz w:val="23"/>
          <w:szCs w:val="23"/>
        </w:rPr>
        <w:t>seven</w:t>
      </w:r>
      <w:r w:rsidRPr="005204DB">
        <w:rPr>
          <w:rFonts w:ascii="Times New Roman" w:eastAsiaTheme="minorEastAsia" w:hAnsi="Times New Roman" w:cs="Times New Roman"/>
          <w:color w:val="000000" w:themeColor="text1"/>
          <w:sz w:val="23"/>
          <w:szCs w:val="23"/>
        </w:rPr>
        <w:t xml:space="preserve"> on-site reviews in </w:t>
      </w:r>
      <w:r w:rsidR="006C6745" w:rsidRPr="005204DB">
        <w:rPr>
          <w:rFonts w:ascii="Times New Roman" w:eastAsiaTheme="minorEastAsia" w:hAnsi="Times New Roman" w:cs="Times New Roman"/>
          <w:color w:val="000000" w:themeColor="text1"/>
          <w:sz w:val="23"/>
          <w:szCs w:val="23"/>
        </w:rPr>
        <w:t xml:space="preserve">FY20 </w:t>
      </w:r>
      <w:r w:rsidRPr="005204DB">
        <w:rPr>
          <w:rFonts w:ascii="Times New Roman" w:eastAsiaTheme="minorEastAsia" w:hAnsi="Times New Roman" w:cs="Times New Roman"/>
          <w:color w:val="000000" w:themeColor="text1"/>
          <w:sz w:val="23"/>
          <w:szCs w:val="23"/>
        </w:rPr>
        <w:t xml:space="preserve">for programs that were determined “at risk” based on our rubric. On-site visits included monitoring class sites, </w:t>
      </w:r>
      <w:r w:rsidR="006C6745" w:rsidRPr="005204DB">
        <w:rPr>
          <w:rFonts w:ascii="Times New Roman" w:eastAsiaTheme="minorEastAsia" w:hAnsi="Times New Roman" w:cs="Times New Roman"/>
          <w:color w:val="000000" w:themeColor="text1"/>
          <w:sz w:val="23"/>
          <w:szCs w:val="23"/>
        </w:rPr>
        <w:t>interviewing students, teachers</w:t>
      </w:r>
      <w:r w:rsidRPr="005204DB">
        <w:rPr>
          <w:rFonts w:ascii="Times New Roman" w:eastAsiaTheme="minorEastAsia" w:hAnsi="Times New Roman" w:cs="Times New Roman"/>
          <w:color w:val="000000" w:themeColor="text1"/>
          <w:sz w:val="23"/>
          <w:szCs w:val="23"/>
        </w:rPr>
        <w:t xml:space="preserve"> and the director. The on-site visit</w:t>
      </w:r>
      <w:r w:rsidR="006C6745" w:rsidRPr="005204DB">
        <w:rPr>
          <w:rFonts w:ascii="Times New Roman" w:eastAsiaTheme="minorEastAsia" w:hAnsi="Times New Roman" w:cs="Times New Roman"/>
          <w:color w:val="000000" w:themeColor="text1"/>
          <w:sz w:val="23"/>
          <w:szCs w:val="23"/>
        </w:rPr>
        <w:t>s</w:t>
      </w:r>
      <w:r w:rsidRPr="005204DB">
        <w:rPr>
          <w:rFonts w:ascii="Times New Roman" w:eastAsiaTheme="minorEastAsia" w:hAnsi="Times New Roman" w:cs="Times New Roman"/>
          <w:color w:val="000000" w:themeColor="text1"/>
          <w:sz w:val="23"/>
          <w:szCs w:val="23"/>
        </w:rPr>
        <w:t xml:space="preserve"> also included </w:t>
      </w:r>
      <w:r w:rsidR="006C6745" w:rsidRPr="005204DB">
        <w:rPr>
          <w:rFonts w:ascii="Times New Roman" w:eastAsiaTheme="minorEastAsia" w:hAnsi="Times New Roman" w:cs="Times New Roman"/>
          <w:color w:val="000000" w:themeColor="text1"/>
          <w:sz w:val="23"/>
          <w:szCs w:val="23"/>
        </w:rPr>
        <w:t>reviewing</w:t>
      </w:r>
      <w:r w:rsidRPr="005204DB">
        <w:rPr>
          <w:rFonts w:ascii="Times New Roman" w:eastAsiaTheme="minorEastAsia" w:hAnsi="Times New Roman" w:cs="Times New Roman"/>
          <w:color w:val="000000" w:themeColor="text1"/>
          <w:sz w:val="23"/>
          <w:szCs w:val="23"/>
        </w:rPr>
        <w:t xml:space="preserve"> reported data for academic gain targets as well as reviewing fiscal</w:t>
      </w:r>
      <w:r w:rsidR="007937B4" w:rsidRPr="005204DB">
        <w:rPr>
          <w:rFonts w:ascii="Times New Roman" w:eastAsiaTheme="minorEastAsia" w:hAnsi="Times New Roman" w:cs="Times New Roman"/>
          <w:color w:val="000000" w:themeColor="text1"/>
          <w:sz w:val="23"/>
          <w:szCs w:val="23"/>
        </w:rPr>
        <w:t xml:space="preserve"> operations</w:t>
      </w:r>
      <w:r w:rsidRPr="005204DB">
        <w:rPr>
          <w:rFonts w:ascii="Times New Roman" w:eastAsiaTheme="minorEastAsia" w:hAnsi="Times New Roman" w:cs="Times New Roman"/>
          <w:color w:val="000000" w:themeColor="text1"/>
          <w:sz w:val="23"/>
          <w:szCs w:val="23"/>
        </w:rPr>
        <w:t xml:space="preserve"> for the program.</w:t>
      </w:r>
    </w:p>
    <w:p w:rsidR="00836AF8" w:rsidRPr="005204DB" w:rsidRDefault="00B64B73" w:rsidP="000B6FB9">
      <w:pPr>
        <w:spacing w:after="0" w:line="240" w:lineRule="auto"/>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 xml:space="preserve">Missouri </w:t>
      </w:r>
      <w:r w:rsidR="00F96188" w:rsidRPr="005204DB">
        <w:rPr>
          <w:rFonts w:ascii="Times New Roman" w:eastAsiaTheme="minorEastAsia" w:hAnsi="Times New Roman" w:cs="Times New Roman"/>
          <w:sz w:val="23"/>
          <w:szCs w:val="23"/>
        </w:rPr>
        <w:t>strives to improve performance by focusing professional development efforts in areas of instruction with the most need. Missouri offers</w:t>
      </w:r>
      <w:r w:rsidRPr="005204DB">
        <w:rPr>
          <w:rFonts w:ascii="Times New Roman" w:eastAsiaTheme="minorEastAsia" w:hAnsi="Times New Roman" w:cs="Times New Roman"/>
          <w:sz w:val="23"/>
          <w:szCs w:val="23"/>
        </w:rPr>
        <w:t xml:space="preserve"> pre-approved</w:t>
      </w:r>
      <w:r w:rsidR="00F96188" w:rsidRPr="005204DB">
        <w:rPr>
          <w:rFonts w:ascii="Times New Roman" w:eastAsiaTheme="minorEastAsia" w:hAnsi="Times New Roman" w:cs="Times New Roman"/>
          <w:sz w:val="23"/>
          <w:szCs w:val="23"/>
        </w:rPr>
        <w:t xml:space="preserve"> professional development credit f</w:t>
      </w:r>
      <w:r w:rsidRPr="005204DB">
        <w:rPr>
          <w:rFonts w:ascii="Times New Roman" w:eastAsiaTheme="minorEastAsia" w:hAnsi="Times New Roman" w:cs="Times New Roman"/>
          <w:sz w:val="23"/>
          <w:szCs w:val="23"/>
        </w:rPr>
        <w:t>rom a variety of quality source</w:t>
      </w:r>
      <w:r w:rsidR="00D75197">
        <w:rPr>
          <w:rFonts w:ascii="Times New Roman" w:eastAsiaTheme="minorEastAsia" w:hAnsi="Times New Roman" w:cs="Times New Roman"/>
          <w:sz w:val="23"/>
          <w:szCs w:val="23"/>
        </w:rPr>
        <w:t>s</w:t>
      </w:r>
      <w:r w:rsidR="00F96188" w:rsidRPr="005204DB">
        <w:rPr>
          <w:rFonts w:ascii="Times New Roman" w:eastAsiaTheme="minorEastAsia" w:hAnsi="Times New Roman" w:cs="Times New Roman"/>
          <w:sz w:val="23"/>
          <w:szCs w:val="23"/>
        </w:rPr>
        <w:t>. In a normal year, Missouri AEL holds two in-person Directors’ Conferences to highlight WIOA</w:t>
      </w:r>
      <w:r w:rsidRPr="005204DB">
        <w:rPr>
          <w:rFonts w:ascii="Times New Roman" w:eastAsiaTheme="minorEastAsia" w:hAnsi="Times New Roman" w:cs="Times New Roman"/>
          <w:sz w:val="23"/>
          <w:szCs w:val="23"/>
        </w:rPr>
        <w:t xml:space="preserve"> and</w:t>
      </w:r>
      <w:r w:rsidR="00F96188" w:rsidRPr="005204DB">
        <w:rPr>
          <w:rFonts w:ascii="Times New Roman" w:eastAsiaTheme="minorEastAsia" w:hAnsi="Times New Roman" w:cs="Times New Roman"/>
          <w:sz w:val="23"/>
          <w:szCs w:val="23"/>
        </w:rPr>
        <w:t xml:space="preserve"> NRS changes/requirements, new practices, coll</w:t>
      </w:r>
      <w:r w:rsidRPr="005204DB">
        <w:rPr>
          <w:rFonts w:ascii="Times New Roman" w:eastAsiaTheme="minorEastAsia" w:hAnsi="Times New Roman" w:cs="Times New Roman"/>
          <w:sz w:val="23"/>
          <w:szCs w:val="23"/>
        </w:rPr>
        <w:t xml:space="preserve">aborations, </w:t>
      </w:r>
      <w:r w:rsidR="00F96188" w:rsidRPr="005204DB">
        <w:rPr>
          <w:rFonts w:ascii="Times New Roman" w:eastAsiaTheme="minorEastAsia" w:hAnsi="Times New Roman" w:cs="Times New Roman"/>
          <w:sz w:val="23"/>
          <w:szCs w:val="23"/>
        </w:rPr>
        <w:t>developments within AEL, the MO AEL Directors’ Guide and high school equivalency.  This fiscal year, Missouri</w:t>
      </w:r>
      <w:r w:rsidRPr="005204DB">
        <w:rPr>
          <w:rFonts w:ascii="Times New Roman" w:eastAsiaTheme="minorEastAsia" w:hAnsi="Times New Roman" w:cs="Times New Roman"/>
          <w:sz w:val="23"/>
          <w:szCs w:val="23"/>
        </w:rPr>
        <w:t xml:space="preserve"> was only ab</w:t>
      </w:r>
      <w:r w:rsidR="00CB6360">
        <w:rPr>
          <w:rFonts w:ascii="Times New Roman" w:eastAsiaTheme="minorEastAsia" w:hAnsi="Times New Roman" w:cs="Times New Roman"/>
          <w:sz w:val="23"/>
          <w:szCs w:val="23"/>
        </w:rPr>
        <w:t>le to hold the f</w:t>
      </w:r>
      <w:bookmarkStart w:id="0" w:name="_GoBack"/>
      <w:bookmarkEnd w:id="0"/>
      <w:r w:rsidRPr="005204DB">
        <w:rPr>
          <w:rFonts w:ascii="Times New Roman" w:eastAsiaTheme="minorEastAsia" w:hAnsi="Times New Roman" w:cs="Times New Roman"/>
          <w:sz w:val="23"/>
          <w:szCs w:val="23"/>
        </w:rPr>
        <w:t>all</w:t>
      </w:r>
      <w:r w:rsidR="00F96188" w:rsidRPr="005204DB">
        <w:rPr>
          <w:rFonts w:ascii="Times New Roman" w:eastAsiaTheme="minorEastAsia" w:hAnsi="Times New Roman" w:cs="Times New Roman"/>
          <w:sz w:val="23"/>
          <w:szCs w:val="23"/>
        </w:rPr>
        <w:t xml:space="preserve"> 2019 conference, and </w:t>
      </w:r>
      <w:r w:rsidRPr="005204DB">
        <w:rPr>
          <w:rFonts w:ascii="Times New Roman" w:eastAsiaTheme="minorEastAsia" w:hAnsi="Times New Roman" w:cs="Times New Roman"/>
          <w:sz w:val="23"/>
          <w:szCs w:val="23"/>
        </w:rPr>
        <w:t xml:space="preserve">was not able to hold the </w:t>
      </w:r>
      <w:r w:rsidR="00CB6360" w:rsidRPr="005204DB">
        <w:rPr>
          <w:rFonts w:ascii="Times New Roman" w:eastAsiaTheme="minorEastAsia" w:hAnsi="Times New Roman" w:cs="Times New Roman"/>
          <w:sz w:val="23"/>
          <w:szCs w:val="23"/>
        </w:rPr>
        <w:t>spring</w:t>
      </w:r>
      <w:r w:rsidR="00F96188" w:rsidRPr="005204DB">
        <w:rPr>
          <w:rFonts w:ascii="Times New Roman" w:eastAsiaTheme="minorEastAsia" w:hAnsi="Times New Roman" w:cs="Times New Roman"/>
          <w:sz w:val="23"/>
          <w:szCs w:val="23"/>
        </w:rPr>
        <w:t xml:space="preserve"> 2020 conference because of the pandemic.</w:t>
      </w:r>
      <w:r w:rsidR="00172C97" w:rsidRPr="005204DB">
        <w:rPr>
          <w:rFonts w:ascii="Times New Roman" w:eastAsiaTheme="minorEastAsia" w:hAnsi="Times New Roman" w:cs="Times New Roman"/>
          <w:sz w:val="23"/>
          <w:szCs w:val="23"/>
        </w:rPr>
        <w:t xml:space="preserve"> Virtual conferences and additional periodic guidance were provided in lieu of that conference.</w:t>
      </w:r>
    </w:p>
    <w:p w:rsidR="007D1D81" w:rsidRPr="005204DB" w:rsidRDefault="007D1D81" w:rsidP="000B6FB9">
      <w:pPr>
        <w:spacing w:after="0" w:line="240" w:lineRule="auto"/>
        <w:rPr>
          <w:rFonts w:ascii="Times New Roman" w:eastAsiaTheme="minorEastAsia" w:hAnsi="Times New Roman" w:cs="Times New Roman"/>
          <w:color w:val="FF0000"/>
          <w:sz w:val="23"/>
          <w:szCs w:val="23"/>
        </w:rPr>
      </w:pPr>
    </w:p>
    <w:p w:rsidR="006A5196" w:rsidRPr="005204DB" w:rsidRDefault="006D33BF" w:rsidP="000B6FB9">
      <w:pPr>
        <w:pStyle w:val="ListParagraph"/>
        <w:numPr>
          <w:ilvl w:val="0"/>
          <w:numId w:val="1"/>
        </w:numPr>
        <w:spacing w:line="240" w:lineRule="auto"/>
        <w:rPr>
          <w:rFonts w:ascii="Times New Roman" w:hAnsi="Times New Roman" w:cs="Times New Roman"/>
          <w:b/>
          <w:sz w:val="23"/>
          <w:szCs w:val="23"/>
          <w:u w:val="single"/>
        </w:rPr>
      </w:pPr>
      <w:r w:rsidRPr="005204DB">
        <w:rPr>
          <w:rFonts w:ascii="Times New Roman" w:hAnsi="Times New Roman" w:cs="Times New Roman"/>
          <w:b/>
          <w:sz w:val="23"/>
          <w:szCs w:val="23"/>
          <w:u w:val="single"/>
        </w:rPr>
        <w:t>Integration with One-stop Partners</w:t>
      </w:r>
    </w:p>
    <w:p w:rsidR="006778E9" w:rsidRPr="005204DB" w:rsidRDefault="006A5196" w:rsidP="000B6FB9">
      <w:pPr>
        <w:pStyle w:val="ListParagraph"/>
        <w:spacing w:line="240" w:lineRule="auto"/>
        <w:ind w:left="360"/>
        <w:rPr>
          <w:rFonts w:ascii="Times New Roman" w:eastAsiaTheme="minorEastAsia" w:hAnsi="Times New Roman" w:cs="Times New Roman"/>
          <w:b/>
          <w:i/>
          <w:color w:val="000000" w:themeColor="text1"/>
          <w:sz w:val="23"/>
          <w:szCs w:val="23"/>
        </w:rPr>
      </w:pPr>
      <w:r w:rsidRPr="005204DB">
        <w:rPr>
          <w:rFonts w:ascii="Times New Roman" w:eastAsiaTheme="minorEastAsia" w:hAnsi="Times New Roman" w:cs="Times New Roman"/>
          <w:b/>
          <w:i/>
          <w:color w:val="000000" w:themeColor="text1"/>
          <w:sz w:val="23"/>
          <w:szCs w:val="23"/>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p>
    <w:p w:rsidR="000B6FB9" w:rsidRDefault="00EA7545" w:rsidP="000B6FB9">
      <w:pPr>
        <w:pStyle w:val="ListParagraph"/>
        <w:spacing w:line="240" w:lineRule="auto"/>
        <w:ind w:left="0"/>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Missouri AEL continues to work with the</w:t>
      </w:r>
      <w:r w:rsidR="00B601BC" w:rsidRPr="005204DB">
        <w:rPr>
          <w:rFonts w:ascii="Times New Roman" w:eastAsiaTheme="minorEastAsia" w:hAnsi="Times New Roman" w:cs="Times New Roman"/>
          <w:sz w:val="23"/>
          <w:szCs w:val="23"/>
        </w:rPr>
        <w:t xml:space="preserve"> Office of Workforce Development, </w:t>
      </w:r>
      <w:r w:rsidRPr="005204DB">
        <w:rPr>
          <w:rFonts w:ascii="Times New Roman" w:eastAsiaTheme="minorEastAsia" w:hAnsi="Times New Roman" w:cs="Times New Roman"/>
          <w:sz w:val="23"/>
          <w:szCs w:val="23"/>
        </w:rPr>
        <w:t xml:space="preserve">Vocational Rehabilitation </w:t>
      </w:r>
      <w:r w:rsidR="00B601BC" w:rsidRPr="005204DB">
        <w:rPr>
          <w:rFonts w:ascii="Times New Roman" w:eastAsiaTheme="minorEastAsia" w:hAnsi="Times New Roman" w:cs="Times New Roman"/>
          <w:sz w:val="23"/>
          <w:szCs w:val="23"/>
        </w:rPr>
        <w:t xml:space="preserve">and other WIOA partners </w:t>
      </w:r>
      <w:r w:rsidRPr="005204DB">
        <w:rPr>
          <w:rFonts w:ascii="Times New Roman" w:eastAsiaTheme="minorEastAsia" w:hAnsi="Times New Roman" w:cs="Times New Roman"/>
          <w:sz w:val="23"/>
          <w:szCs w:val="23"/>
        </w:rPr>
        <w:t xml:space="preserve">to establish collaborative </w:t>
      </w:r>
      <w:r w:rsidR="00B601BC" w:rsidRPr="005204DB">
        <w:rPr>
          <w:rFonts w:ascii="Times New Roman" w:eastAsiaTheme="minorEastAsia" w:hAnsi="Times New Roman" w:cs="Times New Roman"/>
          <w:sz w:val="23"/>
          <w:szCs w:val="23"/>
        </w:rPr>
        <w:t>relationships</w:t>
      </w:r>
      <w:r w:rsidRPr="005204DB">
        <w:rPr>
          <w:rFonts w:ascii="Times New Roman" w:eastAsiaTheme="minorEastAsia" w:hAnsi="Times New Roman" w:cs="Times New Roman"/>
          <w:sz w:val="23"/>
          <w:szCs w:val="23"/>
        </w:rPr>
        <w:t xml:space="preserve"> </w:t>
      </w:r>
      <w:r w:rsidR="00B601BC" w:rsidRPr="005204DB">
        <w:rPr>
          <w:rFonts w:ascii="Times New Roman" w:eastAsiaTheme="minorEastAsia" w:hAnsi="Times New Roman" w:cs="Times New Roman"/>
          <w:sz w:val="23"/>
          <w:szCs w:val="23"/>
        </w:rPr>
        <w:t>that lead</w:t>
      </w:r>
      <w:r w:rsidRPr="005204DB">
        <w:rPr>
          <w:rFonts w:ascii="Times New Roman" w:eastAsiaTheme="minorEastAsia" w:hAnsi="Times New Roman" w:cs="Times New Roman"/>
          <w:sz w:val="23"/>
          <w:szCs w:val="23"/>
        </w:rPr>
        <w:t xml:space="preserve"> to employment and post-secondary pathways for adult students. On the state level, </w:t>
      </w:r>
      <w:r w:rsidR="001426AD" w:rsidRPr="005204DB">
        <w:rPr>
          <w:rFonts w:ascii="Times New Roman" w:eastAsiaTheme="minorEastAsia" w:hAnsi="Times New Roman" w:cs="Times New Roman"/>
          <w:sz w:val="23"/>
          <w:szCs w:val="23"/>
        </w:rPr>
        <w:t xml:space="preserve">the </w:t>
      </w:r>
      <w:r w:rsidRPr="005204DB">
        <w:rPr>
          <w:rFonts w:ascii="Times New Roman" w:eastAsiaTheme="minorEastAsia" w:hAnsi="Times New Roman" w:cs="Times New Roman"/>
          <w:sz w:val="23"/>
          <w:szCs w:val="23"/>
        </w:rPr>
        <w:t>Commissioner</w:t>
      </w:r>
      <w:r w:rsidR="001426AD" w:rsidRPr="005204DB">
        <w:rPr>
          <w:rFonts w:ascii="Times New Roman" w:eastAsiaTheme="minorEastAsia" w:hAnsi="Times New Roman" w:cs="Times New Roman"/>
          <w:sz w:val="23"/>
          <w:szCs w:val="23"/>
        </w:rPr>
        <w:t xml:space="preserve"> of</w:t>
      </w:r>
      <w:r w:rsidR="00FC473D" w:rsidRPr="005204DB">
        <w:rPr>
          <w:rFonts w:ascii="Times New Roman" w:eastAsiaTheme="minorEastAsia" w:hAnsi="Times New Roman" w:cs="Times New Roman"/>
          <w:sz w:val="23"/>
          <w:szCs w:val="23"/>
        </w:rPr>
        <w:t xml:space="preserve"> DESE </w:t>
      </w:r>
      <w:r w:rsidRPr="005204DB">
        <w:rPr>
          <w:rFonts w:ascii="Times New Roman" w:eastAsiaTheme="minorEastAsia" w:hAnsi="Times New Roman" w:cs="Times New Roman"/>
          <w:sz w:val="23"/>
          <w:szCs w:val="23"/>
        </w:rPr>
        <w:t>represents both Adult Education and Vocational Rehabilitation on the Sta</w:t>
      </w:r>
      <w:r w:rsidR="00572AEF" w:rsidRPr="005204DB">
        <w:rPr>
          <w:rFonts w:ascii="Times New Roman" w:eastAsiaTheme="minorEastAsia" w:hAnsi="Times New Roman" w:cs="Times New Roman"/>
          <w:sz w:val="23"/>
          <w:szCs w:val="23"/>
        </w:rPr>
        <w:t xml:space="preserve">te </w:t>
      </w:r>
      <w:r w:rsidR="001426AD" w:rsidRPr="005204DB">
        <w:rPr>
          <w:rFonts w:ascii="Times New Roman" w:eastAsiaTheme="minorEastAsia" w:hAnsi="Times New Roman" w:cs="Times New Roman"/>
          <w:sz w:val="23"/>
          <w:szCs w:val="23"/>
        </w:rPr>
        <w:t xml:space="preserve">Workforce Development </w:t>
      </w:r>
      <w:r w:rsidR="00FC473D" w:rsidRPr="005204DB">
        <w:rPr>
          <w:rFonts w:ascii="Times New Roman" w:eastAsiaTheme="minorEastAsia" w:hAnsi="Times New Roman" w:cs="Times New Roman"/>
          <w:sz w:val="23"/>
          <w:szCs w:val="23"/>
        </w:rPr>
        <w:t>Board</w:t>
      </w:r>
      <w:r w:rsidRPr="005204DB">
        <w:rPr>
          <w:rFonts w:ascii="Times New Roman" w:eastAsiaTheme="minorEastAsia" w:hAnsi="Times New Roman" w:cs="Times New Roman"/>
          <w:sz w:val="23"/>
          <w:szCs w:val="23"/>
        </w:rPr>
        <w:t xml:space="preserve">. </w:t>
      </w:r>
      <w:r w:rsidR="00744518" w:rsidRPr="005204DB">
        <w:rPr>
          <w:rFonts w:ascii="Times New Roman" w:eastAsiaTheme="minorEastAsia" w:hAnsi="Times New Roman" w:cs="Times New Roman"/>
          <w:sz w:val="23"/>
          <w:szCs w:val="23"/>
        </w:rPr>
        <w:t>AEL DESE</w:t>
      </w:r>
      <w:r w:rsidRPr="005204DB">
        <w:rPr>
          <w:rFonts w:ascii="Times New Roman" w:eastAsiaTheme="minorEastAsia" w:hAnsi="Times New Roman" w:cs="Times New Roman"/>
          <w:sz w:val="23"/>
          <w:szCs w:val="23"/>
        </w:rPr>
        <w:t xml:space="preserve"> meets</w:t>
      </w:r>
      <w:r w:rsidR="00744518" w:rsidRPr="005204DB">
        <w:rPr>
          <w:rFonts w:ascii="Times New Roman" w:eastAsiaTheme="minorEastAsia" w:hAnsi="Times New Roman" w:cs="Times New Roman"/>
          <w:sz w:val="23"/>
          <w:szCs w:val="23"/>
        </w:rPr>
        <w:t xml:space="preserve"> regularly with leaders of the L</w:t>
      </w:r>
      <w:r w:rsidRPr="005204DB">
        <w:rPr>
          <w:rFonts w:ascii="Times New Roman" w:eastAsiaTheme="minorEastAsia" w:hAnsi="Times New Roman" w:cs="Times New Roman"/>
          <w:sz w:val="23"/>
          <w:szCs w:val="23"/>
        </w:rPr>
        <w:t xml:space="preserve">ocal Workforce Development Boards </w:t>
      </w:r>
      <w:r w:rsidR="00744518" w:rsidRPr="005204DB">
        <w:rPr>
          <w:rFonts w:ascii="Times New Roman" w:eastAsiaTheme="minorEastAsia" w:hAnsi="Times New Roman" w:cs="Times New Roman"/>
          <w:sz w:val="23"/>
          <w:szCs w:val="23"/>
        </w:rPr>
        <w:t xml:space="preserve">(LWDBs) </w:t>
      </w:r>
      <w:r w:rsidRPr="005204DB">
        <w:rPr>
          <w:rFonts w:ascii="Times New Roman" w:eastAsiaTheme="minorEastAsia" w:hAnsi="Times New Roman" w:cs="Times New Roman"/>
          <w:sz w:val="23"/>
          <w:szCs w:val="23"/>
        </w:rPr>
        <w:t>to promote collaboration at the local level</w:t>
      </w:r>
      <w:r w:rsidR="001426AD" w:rsidRPr="005204DB">
        <w:rPr>
          <w:rFonts w:ascii="Times New Roman" w:eastAsiaTheme="minorEastAsia" w:hAnsi="Times New Roman" w:cs="Times New Roman"/>
          <w:sz w:val="23"/>
          <w:szCs w:val="23"/>
        </w:rPr>
        <w:t xml:space="preserve"> and serve on several partnership committees</w:t>
      </w:r>
      <w:r w:rsidRPr="005204DB">
        <w:rPr>
          <w:rFonts w:ascii="Times New Roman" w:eastAsiaTheme="minorEastAsia" w:hAnsi="Times New Roman" w:cs="Times New Roman"/>
          <w:sz w:val="23"/>
          <w:szCs w:val="23"/>
        </w:rPr>
        <w:t>.</w:t>
      </w:r>
      <w:r w:rsidR="001426AD" w:rsidRPr="005204DB">
        <w:rPr>
          <w:rFonts w:ascii="Times New Roman" w:eastAsiaTheme="minorEastAsia" w:hAnsi="Times New Roman" w:cs="Times New Roman"/>
          <w:sz w:val="23"/>
          <w:szCs w:val="23"/>
        </w:rPr>
        <w:t xml:space="preserve"> This year, DESE AEL assisted with the development of the WIOA Combined State Plan and participated in infrastructure cost-sharing negotiations with LWDBs that resulted in agreements with all partners.</w:t>
      </w:r>
      <w:r w:rsidRPr="005204DB">
        <w:rPr>
          <w:rFonts w:ascii="Times New Roman" w:eastAsiaTheme="minorEastAsia" w:hAnsi="Times New Roman" w:cs="Times New Roman"/>
          <w:sz w:val="23"/>
          <w:szCs w:val="23"/>
        </w:rPr>
        <w:t xml:space="preserve"> Additionally, 14 of our local AEL Directors (out of 28) serve on the 14 WDB</w:t>
      </w:r>
      <w:r w:rsidR="007B0434" w:rsidRPr="005204DB">
        <w:rPr>
          <w:rFonts w:ascii="Times New Roman" w:eastAsiaTheme="minorEastAsia" w:hAnsi="Times New Roman" w:cs="Times New Roman"/>
          <w:sz w:val="23"/>
          <w:szCs w:val="23"/>
        </w:rPr>
        <w:t xml:space="preserve"> </w:t>
      </w:r>
      <w:r w:rsidRPr="005204DB">
        <w:rPr>
          <w:rFonts w:ascii="Times New Roman" w:eastAsiaTheme="minorEastAsia" w:hAnsi="Times New Roman" w:cs="Times New Roman"/>
          <w:sz w:val="23"/>
          <w:szCs w:val="23"/>
        </w:rPr>
        <w:t>boards within their respective regions throughout the state. Currently, twelve programs hold classes a</w:t>
      </w:r>
      <w:r w:rsidR="00744518" w:rsidRPr="005204DB">
        <w:rPr>
          <w:rFonts w:ascii="Times New Roman" w:eastAsiaTheme="minorEastAsia" w:hAnsi="Times New Roman" w:cs="Times New Roman"/>
          <w:sz w:val="23"/>
          <w:szCs w:val="23"/>
        </w:rPr>
        <w:t>t One-Stop (Missouri Job Center</w:t>
      </w:r>
      <w:r w:rsidRPr="005204DB">
        <w:rPr>
          <w:rFonts w:ascii="Times New Roman" w:eastAsiaTheme="minorEastAsia" w:hAnsi="Times New Roman" w:cs="Times New Roman"/>
          <w:sz w:val="23"/>
          <w:szCs w:val="23"/>
        </w:rPr>
        <w:t xml:space="preserve">) locations. </w:t>
      </w:r>
    </w:p>
    <w:p w:rsidR="005204DB" w:rsidRPr="005204DB" w:rsidRDefault="005204DB" w:rsidP="000B6FB9">
      <w:pPr>
        <w:pStyle w:val="ListParagraph"/>
        <w:spacing w:line="240" w:lineRule="auto"/>
        <w:ind w:left="0"/>
        <w:rPr>
          <w:rFonts w:ascii="Times New Roman" w:eastAsiaTheme="minorEastAsia" w:hAnsi="Times New Roman" w:cs="Times New Roman"/>
          <w:sz w:val="23"/>
          <w:szCs w:val="23"/>
        </w:rPr>
      </w:pPr>
    </w:p>
    <w:p w:rsidR="000B6FB9" w:rsidRPr="005204DB" w:rsidRDefault="00EA7545" w:rsidP="000B6FB9">
      <w:pPr>
        <w:pStyle w:val="ListParagraph"/>
        <w:spacing w:line="240" w:lineRule="auto"/>
        <w:ind w:left="0"/>
        <w:rPr>
          <w:rFonts w:ascii="Times New Roman" w:eastAsiaTheme="minorEastAsia" w:hAnsi="Times New Roman" w:cs="Times New Roman"/>
          <w:b/>
          <w:i/>
          <w:color w:val="000000" w:themeColor="text1"/>
          <w:sz w:val="23"/>
          <w:szCs w:val="23"/>
        </w:rPr>
      </w:pPr>
      <w:r w:rsidRPr="005204DB">
        <w:rPr>
          <w:rFonts w:ascii="Times New Roman" w:eastAsiaTheme="minorEastAsia" w:hAnsi="Times New Roman" w:cs="Times New Roman"/>
          <w:sz w:val="23"/>
          <w:szCs w:val="23"/>
        </w:rPr>
        <w:t xml:space="preserve">Missouri </w:t>
      </w:r>
      <w:r w:rsidR="0020558C" w:rsidRPr="005204DB">
        <w:rPr>
          <w:rFonts w:ascii="Times New Roman" w:eastAsiaTheme="minorEastAsia" w:hAnsi="Times New Roman" w:cs="Times New Roman"/>
          <w:sz w:val="23"/>
          <w:szCs w:val="23"/>
        </w:rPr>
        <w:t>provides</w:t>
      </w:r>
      <w:r w:rsidRPr="005204DB">
        <w:rPr>
          <w:rFonts w:ascii="Times New Roman" w:eastAsiaTheme="minorEastAsia" w:hAnsi="Times New Roman" w:cs="Times New Roman"/>
          <w:sz w:val="23"/>
          <w:szCs w:val="23"/>
        </w:rPr>
        <w:t xml:space="preserve"> funding to each of the Adult Education local programs to support career and </w:t>
      </w:r>
      <w:r w:rsidR="0020558C" w:rsidRPr="005204DB">
        <w:rPr>
          <w:rFonts w:ascii="Times New Roman" w:eastAsiaTheme="minorEastAsia" w:hAnsi="Times New Roman" w:cs="Times New Roman"/>
          <w:sz w:val="23"/>
          <w:szCs w:val="23"/>
        </w:rPr>
        <w:t xml:space="preserve">continuing </w:t>
      </w:r>
      <w:r w:rsidRPr="005204DB">
        <w:rPr>
          <w:rFonts w:ascii="Times New Roman" w:eastAsiaTheme="minorEastAsia" w:hAnsi="Times New Roman" w:cs="Times New Roman"/>
          <w:sz w:val="23"/>
          <w:szCs w:val="23"/>
        </w:rPr>
        <w:t>educational pathways for our students</w:t>
      </w:r>
      <w:r w:rsidR="0020558C" w:rsidRPr="005204DB">
        <w:rPr>
          <w:rFonts w:ascii="Times New Roman" w:eastAsiaTheme="minorEastAsia" w:hAnsi="Times New Roman" w:cs="Times New Roman"/>
          <w:sz w:val="23"/>
          <w:szCs w:val="23"/>
        </w:rPr>
        <w:t>,</w:t>
      </w:r>
      <w:r w:rsidRPr="005204DB">
        <w:rPr>
          <w:rFonts w:ascii="Times New Roman" w:eastAsiaTheme="minorEastAsia" w:hAnsi="Times New Roman" w:cs="Times New Roman"/>
          <w:sz w:val="23"/>
          <w:szCs w:val="23"/>
        </w:rPr>
        <w:t xml:space="preserve"> connect</w:t>
      </w:r>
      <w:r w:rsidR="0020558C" w:rsidRPr="005204DB">
        <w:rPr>
          <w:rFonts w:ascii="Times New Roman" w:eastAsiaTheme="minorEastAsia" w:hAnsi="Times New Roman" w:cs="Times New Roman"/>
          <w:sz w:val="23"/>
          <w:szCs w:val="23"/>
        </w:rPr>
        <w:t>ing them</w:t>
      </w:r>
      <w:r w:rsidRPr="005204DB">
        <w:rPr>
          <w:rFonts w:ascii="Times New Roman" w:eastAsiaTheme="minorEastAsia" w:hAnsi="Times New Roman" w:cs="Times New Roman"/>
          <w:sz w:val="23"/>
          <w:szCs w:val="23"/>
        </w:rPr>
        <w:t xml:space="preserve"> with core and req</w:t>
      </w:r>
      <w:r w:rsidR="0020558C" w:rsidRPr="005204DB">
        <w:rPr>
          <w:rFonts w:ascii="Times New Roman" w:eastAsiaTheme="minorEastAsia" w:hAnsi="Times New Roman" w:cs="Times New Roman"/>
          <w:sz w:val="23"/>
          <w:szCs w:val="23"/>
        </w:rPr>
        <w:t>uired partners, local employers</w:t>
      </w:r>
      <w:r w:rsidRPr="005204DB">
        <w:rPr>
          <w:rFonts w:ascii="Times New Roman" w:eastAsiaTheme="minorEastAsia" w:hAnsi="Times New Roman" w:cs="Times New Roman"/>
          <w:sz w:val="23"/>
          <w:szCs w:val="23"/>
        </w:rPr>
        <w:t xml:space="preserve"> and post-secondary institut</w:t>
      </w:r>
      <w:r w:rsidR="00CF6434" w:rsidRPr="005204DB">
        <w:rPr>
          <w:rFonts w:ascii="Times New Roman" w:eastAsiaTheme="minorEastAsia" w:hAnsi="Times New Roman" w:cs="Times New Roman"/>
          <w:sz w:val="23"/>
          <w:szCs w:val="23"/>
        </w:rPr>
        <w:t>ions. Most</w:t>
      </w:r>
      <w:r w:rsidRPr="005204DB">
        <w:rPr>
          <w:rFonts w:ascii="Times New Roman" w:eastAsiaTheme="minorEastAsia" w:hAnsi="Times New Roman" w:cs="Times New Roman"/>
          <w:sz w:val="23"/>
          <w:szCs w:val="23"/>
        </w:rPr>
        <w:t xml:space="preserve"> lo</w:t>
      </w:r>
      <w:r w:rsidR="00CF6434" w:rsidRPr="005204DB">
        <w:rPr>
          <w:rFonts w:ascii="Times New Roman" w:eastAsiaTheme="minorEastAsia" w:hAnsi="Times New Roman" w:cs="Times New Roman"/>
          <w:sz w:val="23"/>
          <w:szCs w:val="23"/>
        </w:rPr>
        <w:t>cal programs have a Case Manager/Job C</w:t>
      </w:r>
      <w:r w:rsidRPr="005204DB">
        <w:rPr>
          <w:rFonts w:ascii="Times New Roman" w:eastAsiaTheme="minorEastAsia" w:hAnsi="Times New Roman" w:cs="Times New Roman"/>
          <w:sz w:val="23"/>
          <w:szCs w:val="23"/>
        </w:rPr>
        <w:t>oach to serve as a liaison connecting targeted students wi</w:t>
      </w:r>
      <w:r w:rsidR="0020558C" w:rsidRPr="005204DB">
        <w:rPr>
          <w:rFonts w:ascii="Times New Roman" w:eastAsiaTheme="minorEastAsia" w:hAnsi="Times New Roman" w:cs="Times New Roman"/>
          <w:sz w:val="23"/>
          <w:szCs w:val="23"/>
        </w:rPr>
        <w:t>th available partners, services</w:t>
      </w:r>
      <w:r w:rsidRPr="005204DB">
        <w:rPr>
          <w:rFonts w:ascii="Times New Roman" w:eastAsiaTheme="minorEastAsia" w:hAnsi="Times New Roman" w:cs="Times New Roman"/>
          <w:sz w:val="23"/>
          <w:szCs w:val="23"/>
        </w:rPr>
        <w:t xml:space="preserve"> and opportunities that will </w:t>
      </w:r>
      <w:r w:rsidR="0020558C" w:rsidRPr="005204DB">
        <w:rPr>
          <w:rFonts w:ascii="Times New Roman" w:eastAsiaTheme="minorEastAsia" w:hAnsi="Times New Roman" w:cs="Times New Roman"/>
          <w:sz w:val="23"/>
          <w:szCs w:val="23"/>
        </w:rPr>
        <w:t>remove barriers</w:t>
      </w:r>
      <w:r w:rsidRPr="005204DB">
        <w:rPr>
          <w:rFonts w:ascii="Times New Roman" w:eastAsiaTheme="minorEastAsia" w:hAnsi="Times New Roman" w:cs="Times New Roman"/>
          <w:sz w:val="23"/>
          <w:szCs w:val="23"/>
        </w:rPr>
        <w:t xml:space="preserve"> for students to achieve employment and/or post-secondary goals. </w:t>
      </w:r>
    </w:p>
    <w:p w:rsidR="00EA7545" w:rsidRPr="005204DB" w:rsidRDefault="000B6FB9" w:rsidP="000B6FB9">
      <w:pPr>
        <w:spacing w:line="240" w:lineRule="auto"/>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 xml:space="preserve">During COVID-19, the majority of the high school equivalency (HSE) testing centers shut down throughout the state of Missouri leaving limited testing opportunities for adult education students to </w:t>
      </w:r>
      <w:r w:rsidRPr="005204DB">
        <w:rPr>
          <w:rFonts w:ascii="Times New Roman" w:eastAsiaTheme="minorEastAsia" w:hAnsi="Times New Roman" w:cs="Times New Roman"/>
          <w:sz w:val="23"/>
          <w:szCs w:val="23"/>
        </w:rPr>
        <w:lastRenderedPageBreak/>
        <w:t xml:space="preserve">take the HSE. The Adult Education and Literacy High School Equivalency </w:t>
      </w:r>
      <w:r w:rsidR="00C23883">
        <w:rPr>
          <w:rFonts w:ascii="Times New Roman" w:eastAsiaTheme="minorEastAsia" w:hAnsi="Times New Roman" w:cs="Times New Roman"/>
          <w:sz w:val="23"/>
          <w:szCs w:val="23"/>
        </w:rPr>
        <w:t>section</w:t>
      </w:r>
      <w:r w:rsidRPr="005204DB">
        <w:rPr>
          <w:rFonts w:ascii="Times New Roman" w:eastAsiaTheme="minorEastAsia" w:hAnsi="Times New Roman" w:cs="Times New Roman"/>
          <w:sz w:val="23"/>
          <w:szCs w:val="23"/>
        </w:rPr>
        <w:t xml:space="preserve"> revised their HSE contract with the Education Testing Service to add a remote proctored HiSET Exam service.  This remote proctored test gave adult students another testing option if the public testing centers were closed due to the pandemic. </w:t>
      </w:r>
      <w:r w:rsidR="001343A8" w:rsidRPr="005204DB">
        <w:rPr>
          <w:rFonts w:ascii="Times New Roman" w:eastAsiaTheme="minorEastAsia" w:hAnsi="Times New Roman" w:cs="Times New Roman"/>
          <w:sz w:val="23"/>
          <w:szCs w:val="23"/>
        </w:rPr>
        <w:t xml:space="preserve">In </w:t>
      </w:r>
      <w:r w:rsidRPr="005204DB">
        <w:rPr>
          <w:rFonts w:ascii="Times New Roman" w:eastAsiaTheme="minorEastAsia" w:hAnsi="Times New Roman" w:cs="Times New Roman"/>
          <w:sz w:val="23"/>
          <w:szCs w:val="23"/>
        </w:rPr>
        <w:t xml:space="preserve">further </w:t>
      </w:r>
      <w:r w:rsidR="001343A8" w:rsidRPr="005204DB">
        <w:rPr>
          <w:rFonts w:ascii="Times New Roman" w:eastAsiaTheme="minorEastAsia" w:hAnsi="Times New Roman" w:cs="Times New Roman"/>
          <w:sz w:val="23"/>
          <w:szCs w:val="23"/>
        </w:rPr>
        <w:t xml:space="preserve">response to COVID-19, AEL programs worked closely with core partners to establish spaces within open locations to deliver high school equivalency testing to students who would not have been able to use the testing at home option otherwise. This innovation was used to </w:t>
      </w:r>
      <w:r w:rsidR="00896648" w:rsidRPr="005204DB">
        <w:rPr>
          <w:rFonts w:ascii="Times New Roman" w:eastAsiaTheme="minorEastAsia" w:hAnsi="Times New Roman" w:cs="Times New Roman"/>
          <w:sz w:val="23"/>
          <w:szCs w:val="23"/>
        </w:rPr>
        <w:t>address</w:t>
      </w:r>
      <w:r w:rsidR="001343A8" w:rsidRPr="005204DB">
        <w:rPr>
          <w:rFonts w:ascii="Times New Roman" w:eastAsiaTheme="minorEastAsia" w:hAnsi="Times New Roman" w:cs="Times New Roman"/>
          <w:sz w:val="23"/>
          <w:szCs w:val="23"/>
        </w:rPr>
        <w:t xml:space="preserve"> a recognized need when high school equivalency test centers were closed due to pandemic restrictions.</w:t>
      </w:r>
    </w:p>
    <w:p w:rsidR="00EA7545" w:rsidRPr="005204DB" w:rsidRDefault="00EA7545" w:rsidP="000B6FB9">
      <w:pPr>
        <w:spacing w:after="0" w:line="240" w:lineRule="auto"/>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 xml:space="preserve">Our students use Missouri Connections as a source for career development. This is a comprehensive, online, career development and planning program that is </w:t>
      </w:r>
      <w:r w:rsidR="00C23883">
        <w:rPr>
          <w:rFonts w:ascii="Times New Roman" w:eastAsiaTheme="minorEastAsia" w:hAnsi="Times New Roman" w:cs="Times New Roman"/>
          <w:sz w:val="23"/>
          <w:szCs w:val="23"/>
        </w:rPr>
        <w:t xml:space="preserve">funded by the Department of Education and provided at no cost </w:t>
      </w:r>
      <w:r w:rsidR="00C23883" w:rsidRPr="005204DB">
        <w:rPr>
          <w:rFonts w:ascii="Times New Roman" w:eastAsiaTheme="minorEastAsia" w:hAnsi="Times New Roman" w:cs="Times New Roman"/>
          <w:sz w:val="23"/>
          <w:szCs w:val="23"/>
        </w:rPr>
        <w:t>to all Missouri citizens</w:t>
      </w:r>
      <w:r w:rsidRPr="005204DB">
        <w:rPr>
          <w:rFonts w:ascii="Times New Roman" w:eastAsiaTheme="minorEastAsia" w:hAnsi="Times New Roman" w:cs="Times New Roman"/>
          <w:sz w:val="23"/>
          <w:szCs w:val="23"/>
        </w:rPr>
        <w:t xml:space="preserve">. </w:t>
      </w:r>
      <w:r w:rsidR="007365F9" w:rsidRPr="005204DB">
        <w:rPr>
          <w:rFonts w:ascii="Times New Roman" w:eastAsiaTheme="minorEastAsia" w:hAnsi="Times New Roman" w:cs="Times New Roman"/>
          <w:sz w:val="23"/>
          <w:szCs w:val="23"/>
        </w:rPr>
        <w:t>AEL</w:t>
      </w:r>
      <w:r w:rsidRPr="005204DB">
        <w:rPr>
          <w:rFonts w:ascii="Times New Roman" w:eastAsiaTheme="minorEastAsia" w:hAnsi="Times New Roman" w:cs="Times New Roman"/>
          <w:sz w:val="23"/>
          <w:szCs w:val="23"/>
        </w:rPr>
        <w:t xml:space="preserve"> students are also ex</w:t>
      </w:r>
      <w:r w:rsidR="007365F9" w:rsidRPr="005204DB">
        <w:rPr>
          <w:rFonts w:ascii="Times New Roman" w:eastAsiaTheme="minorEastAsia" w:hAnsi="Times New Roman" w:cs="Times New Roman"/>
          <w:sz w:val="23"/>
          <w:szCs w:val="23"/>
        </w:rPr>
        <w:t>pected to enroll in jobs.mo.gov, a system hosted by the Office of Workforce Development. This site provides countless resources</w:t>
      </w:r>
      <w:r w:rsidRPr="005204DB">
        <w:rPr>
          <w:rFonts w:ascii="Times New Roman" w:eastAsiaTheme="minorEastAsia" w:hAnsi="Times New Roman" w:cs="Times New Roman"/>
          <w:sz w:val="23"/>
          <w:szCs w:val="23"/>
        </w:rPr>
        <w:t xml:space="preserve"> such as job </w:t>
      </w:r>
      <w:r w:rsidR="007365F9" w:rsidRPr="005204DB">
        <w:rPr>
          <w:rFonts w:ascii="Times New Roman" w:eastAsiaTheme="minorEastAsia" w:hAnsi="Times New Roman" w:cs="Times New Roman"/>
          <w:sz w:val="23"/>
          <w:szCs w:val="23"/>
        </w:rPr>
        <w:t>matching</w:t>
      </w:r>
      <w:r w:rsidRPr="005204DB">
        <w:rPr>
          <w:rFonts w:ascii="Times New Roman" w:eastAsiaTheme="minorEastAsia" w:hAnsi="Times New Roman" w:cs="Times New Roman"/>
          <w:sz w:val="23"/>
          <w:szCs w:val="23"/>
        </w:rPr>
        <w:t xml:space="preserve"> and resume building for job seekers.  Local AEL programs work closely with Missouri Job Center staff who assist students in finding job opportunities</w:t>
      </w:r>
      <w:r w:rsidR="007365F9" w:rsidRPr="005204DB">
        <w:rPr>
          <w:rFonts w:ascii="Times New Roman" w:eastAsiaTheme="minorEastAsia" w:hAnsi="Times New Roman" w:cs="Times New Roman"/>
          <w:sz w:val="23"/>
          <w:szCs w:val="23"/>
        </w:rPr>
        <w:t>, apprenticeships</w:t>
      </w:r>
      <w:r w:rsidRPr="005204DB">
        <w:rPr>
          <w:rFonts w:ascii="Times New Roman" w:eastAsiaTheme="minorEastAsia" w:hAnsi="Times New Roman" w:cs="Times New Roman"/>
          <w:sz w:val="23"/>
          <w:szCs w:val="23"/>
        </w:rPr>
        <w:t xml:space="preserve"> and provide post-secondary tuition assistance.</w:t>
      </w:r>
      <w:r w:rsidR="001426AD" w:rsidRPr="005204DB">
        <w:rPr>
          <w:rFonts w:ascii="Times New Roman" w:eastAsiaTheme="minorEastAsia" w:hAnsi="Times New Roman" w:cs="Times New Roman"/>
          <w:sz w:val="23"/>
          <w:szCs w:val="23"/>
        </w:rPr>
        <w:t xml:space="preserve"> Also in Missouri, Title I and Title II partner to provide a Scholars-to-Work program that integrates AEL classes with employment and employability skills. Students can earn a p</w:t>
      </w:r>
      <w:r w:rsidR="0092213A" w:rsidRPr="005204DB">
        <w:rPr>
          <w:rFonts w:ascii="Times New Roman" w:eastAsiaTheme="minorEastAsia" w:hAnsi="Times New Roman" w:cs="Times New Roman"/>
          <w:sz w:val="23"/>
          <w:szCs w:val="23"/>
        </w:rPr>
        <w:t>aycheck while pursuing their high school equivalency or citizenship</w:t>
      </w:r>
      <w:r w:rsidR="001426AD" w:rsidRPr="005204DB">
        <w:rPr>
          <w:rFonts w:ascii="Times New Roman" w:eastAsiaTheme="minorEastAsia" w:hAnsi="Times New Roman" w:cs="Times New Roman"/>
          <w:sz w:val="23"/>
          <w:szCs w:val="23"/>
        </w:rPr>
        <w:t>.</w:t>
      </w:r>
    </w:p>
    <w:p w:rsidR="00EA7545" w:rsidRPr="005204DB" w:rsidRDefault="00EA7545" w:rsidP="000B6FB9">
      <w:pPr>
        <w:spacing w:after="0" w:line="240" w:lineRule="auto"/>
        <w:ind w:left="720"/>
        <w:rPr>
          <w:rFonts w:ascii="Times New Roman" w:eastAsiaTheme="minorEastAsia" w:hAnsi="Times New Roman" w:cs="Times New Roman"/>
          <w:sz w:val="23"/>
          <w:szCs w:val="23"/>
          <w:highlight w:val="yellow"/>
        </w:rPr>
      </w:pPr>
    </w:p>
    <w:p w:rsidR="006A5196" w:rsidRPr="005204DB" w:rsidRDefault="00443BEC" w:rsidP="000B6FB9">
      <w:pPr>
        <w:autoSpaceDE w:val="0"/>
        <w:autoSpaceDN w:val="0"/>
        <w:adjustRightInd w:val="0"/>
        <w:spacing w:after="0" w:line="240" w:lineRule="auto"/>
        <w:rPr>
          <w:rFonts w:ascii="Times New Roman" w:eastAsiaTheme="minorEastAsia" w:hAnsi="Times New Roman" w:cs="Times New Roman"/>
          <w:bCs/>
          <w:color w:val="000000"/>
          <w:sz w:val="23"/>
          <w:szCs w:val="23"/>
        </w:rPr>
      </w:pPr>
      <w:r w:rsidRPr="005204DB">
        <w:rPr>
          <w:rFonts w:ascii="Times New Roman" w:eastAsiaTheme="minorEastAsia" w:hAnsi="Times New Roman" w:cs="Times New Roman"/>
          <w:bCs/>
          <w:color w:val="000000"/>
          <w:sz w:val="23"/>
          <w:szCs w:val="23"/>
        </w:rPr>
        <w:t xml:space="preserve">The WIOA Combined State Plan states that “all Title I classes offered to clients toward an equivalency credential are to be managed through Title II”. </w:t>
      </w:r>
      <w:r w:rsidR="001426AD" w:rsidRPr="005204DB">
        <w:rPr>
          <w:rFonts w:ascii="Times New Roman" w:eastAsiaTheme="minorEastAsia" w:hAnsi="Times New Roman" w:cs="Times New Roman"/>
          <w:bCs/>
          <w:color w:val="000000"/>
          <w:sz w:val="23"/>
          <w:szCs w:val="23"/>
        </w:rPr>
        <w:t>Missouri’s Adult Education programs are required to employ a case manager/advocat</w:t>
      </w:r>
      <w:r w:rsidRPr="005204DB">
        <w:rPr>
          <w:rFonts w:ascii="Times New Roman" w:eastAsiaTheme="minorEastAsia" w:hAnsi="Times New Roman" w:cs="Times New Roman"/>
          <w:bCs/>
          <w:color w:val="000000"/>
          <w:sz w:val="23"/>
          <w:szCs w:val="23"/>
        </w:rPr>
        <w:t xml:space="preserve">e who </w:t>
      </w:r>
      <w:r w:rsidR="001426AD" w:rsidRPr="005204DB">
        <w:rPr>
          <w:rFonts w:ascii="Times New Roman" w:eastAsiaTheme="minorEastAsia" w:hAnsi="Times New Roman" w:cs="Times New Roman"/>
          <w:bCs/>
          <w:color w:val="000000"/>
          <w:sz w:val="23"/>
          <w:szCs w:val="23"/>
        </w:rPr>
        <w:t>connect</w:t>
      </w:r>
      <w:r w:rsidRPr="005204DB">
        <w:rPr>
          <w:rFonts w:ascii="Times New Roman" w:eastAsiaTheme="minorEastAsia" w:hAnsi="Times New Roman" w:cs="Times New Roman"/>
          <w:bCs/>
          <w:color w:val="000000"/>
          <w:sz w:val="23"/>
          <w:szCs w:val="23"/>
        </w:rPr>
        <w:t>s</w:t>
      </w:r>
      <w:r w:rsidR="001426AD" w:rsidRPr="005204DB">
        <w:rPr>
          <w:rFonts w:ascii="Times New Roman" w:eastAsiaTheme="minorEastAsia" w:hAnsi="Times New Roman" w:cs="Times New Roman"/>
          <w:bCs/>
          <w:color w:val="000000"/>
          <w:sz w:val="23"/>
          <w:szCs w:val="23"/>
        </w:rPr>
        <w:t xml:space="preserve"> AEL students with available partners, local employers, services, </w:t>
      </w:r>
      <w:r w:rsidRPr="005204DB">
        <w:rPr>
          <w:rFonts w:ascii="Times New Roman" w:eastAsiaTheme="minorEastAsia" w:hAnsi="Times New Roman" w:cs="Times New Roman"/>
          <w:bCs/>
          <w:color w:val="000000"/>
          <w:sz w:val="23"/>
          <w:szCs w:val="23"/>
        </w:rPr>
        <w:t>and opportunities</w:t>
      </w:r>
      <w:r w:rsidR="001343A8" w:rsidRPr="005204DB">
        <w:rPr>
          <w:rFonts w:ascii="Times New Roman" w:eastAsiaTheme="minorEastAsia" w:hAnsi="Times New Roman" w:cs="Times New Roman"/>
          <w:bCs/>
          <w:color w:val="000000"/>
          <w:sz w:val="23"/>
          <w:szCs w:val="23"/>
        </w:rPr>
        <w:t xml:space="preserve"> to achievement employment</w:t>
      </w:r>
      <w:r w:rsidRPr="005204DB">
        <w:rPr>
          <w:rFonts w:ascii="Times New Roman" w:eastAsiaTheme="minorEastAsia" w:hAnsi="Times New Roman" w:cs="Times New Roman"/>
          <w:bCs/>
          <w:color w:val="000000"/>
          <w:sz w:val="23"/>
          <w:szCs w:val="23"/>
        </w:rPr>
        <w:t xml:space="preserve"> or</w:t>
      </w:r>
      <w:r w:rsidR="001426AD" w:rsidRPr="005204DB">
        <w:rPr>
          <w:rFonts w:ascii="Times New Roman" w:eastAsiaTheme="minorEastAsia" w:hAnsi="Times New Roman" w:cs="Times New Roman"/>
          <w:bCs/>
          <w:color w:val="000000"/>
          <w:sz w:val="23"/>
          <w:szCs w:val="23"/>
        </w:rPr>
        <w:t xml:space="preserve"> enroll in post-secondary education/training programs. In FY20, AEL programs referred 645 students to their local job center for services and have reported that the case managers have provided valuable services, and they have helped AEL students connect to other WIOA partners and employers</w:t>
      </w:r>
      <w:r w:rsidRPr="005204DB">
        <w:rPr>
          <w:rFonts w:ascii="Times New Roman" w:eastAsiaTheme="minorEastAsia" w:hAnsi="Times New Roman" w:cs="Times New Roman"/>
          <w:bCs/>
          <w:color w:val="000000"/>
          <w:sz w:val="23"/>
          <w:szCs w:val="23"/>
        </w:rPr>
        <w:t xml:space="preserve">. </w:t>
      </w:r>
      <w:r w:rsidR="001343A8" w:rsidRPr="005204DB">
        <w:rPr>
          <w:rFonts w:ascii="Times New Roman" w:eastAsiaTheme="minorEastAsia" w:hAnsi="Times New Roman" w:cs="Times New Roman"/>
          <w:bCs/>
          <w:color w:val="000000"/>
          <w:sz w:val="23"/>
          <w:szCs w:val="23"/>
        </w:rPr>
        <w:t>Some loca</w:t>
      </w:r>
      <w:r w:rsidR="00B353CC" w:rsidRPr="005204DB">
        <w:rPr>
          <w:rFonts w:ascii="Times New Roman" w:eastAsiaTheme="minorEastAsia" w:hAnsi="Times New Roman" w:cs="Times New Roman"/>
          <w:bCs/>
          <w:color w:val="000000"/>
          <w:sz w:val="23"/>
          <w:szCs w:val="23"/>
        </w:rPr>
        <w:t>l areas have developed common referral/intake forms</w:t>
      </w:r>
      <w:r w:rsidR="001343A8" w:rsidRPr="005204DB">
        <w:rPr>
          <w:rFonts w:ascii="Times New Roman" w:eastAsiaTheme="minorEastAsia" w:hAnsi="Times New Roman" w:cs="Times New Roman"/>
          <w:bCs/>
          <w:color w:val="000000"/>
          <w:sz w:val="23"/>
          <w:szCs w:val="23"/>
        </w:rPr>
        <w:t xml:space="preserve"> that include all WIOA partners and a release to share student information when appropriate.</w:t>
      </w:r>
      <w:r w:rsidR="0073026C" w:rsidRPr="005204DB">
        <w:rPr>
          <w:rFonts w:ascii="Times New Roman" w:eastAsiaTheme="minorEastAsia" w:hAnsi="Times New Roman" w:cs="Times New Roman"/>
          <w:bCs/>
          <w:color w:val="000000"/>
          <w:sz w:val="23"/>
          <w:szCs w:val="23"/>
        </w:rPr>
        <w:t xml:space="preserve"> Assessment and testing results are also shared amongst WIOA partner agencies when possible.</w:t>
      </w:r>
    </w:p>
    <w:p w:rsidR="00B353CC" w:rsidRPr="005204DB" w:rsidRDefault="00B353CC" w:rsidP="000B6FB9">
      <w:pPr>
        <w:autoSpaceDE w:val="0"/>
        <w:autoSpaceDN w:val="0"/>
        <w:adjustRightInd w:val="0"/>
        <w:spacing w:after="0" w:line="240" w:lineRule="auto"/>
        <w:rPr>
          <w:rFonts w:ascii="Times New Roman" w:eastAsiaTheme="minorEastAsia" w:hAnsi="Times New Roman" w:cs="Times New Roman"/>
          <w:bCs/>
          <w:color w:val="000000"/>
          <w:sz w:val="23"/>
          <w:szCs w:val="23"/>
        </w:rPr>
      </w:pPr>
    </w:p>
    <w:p w:rsidR="00596A6E" w:rsidRPr="005204DB" w:rsidRDefault="006D33BF" w:rsidP="000B6FB9">
      <w:pPr>
        <w:pStyle w:val="ListParagraph"/>
        <w:numPr>
          <w:ilvl w:val="0"/>
          <w:numId w:val="1"/>
        </w:numPr>
        <w:spacing w:line="240" w:lineRule="auto"/>
        <w:rPr>
          <w:rFonts w:ascii="Times New Roman" w:hAnsi="Times New Roman" w:cs="Times New Roman"/>
          <w:b/>
          <w:sz w:val="23"/>
          <w:szCs w:val="23"/>
          <w:u w:val="single"/>
        </w:rPr>
      </w:pPr>
      <w:r w:rsidRPr="005204DB">
        <w:rPr>
          <w:rFonts w:ascii="Times New Roman" w:hAnsi="Times New Roman" w:cs="Times New Roman"/>
          <w:b/>
          <w:sz w:val="23"/>
          <w:szCs w:val="23"/>
          <w:u w:val="single"/>
        </w:rPr>
        <w:t>Integrated English Literacy and Civics Education (IELCE) Program (AEFLA Section 243)</w:t>
      </w:r>
    </w:p>
    <w:p w:rsidR="006A5196" w:rsidRPr="005204DB" w:rsidRDefault="006A5196" w:rsidP="000B6FB9">
      <w:pPr>
        <w:pStyle w:val="ListParagraph"/>
        <w:spacing w:line="240" w:lineRule="auto"/>
        <w:ind w:left="360"/>
        <w:rPr>
          <w:rFonts w:ascii="Times New Roman" w:hAnsi="Times New Roman" w:cs="Times New Roman"/>
          <w:b/>
          <w:sz w:val="23"/>
          <w:szCs w:val="23"/>
          <w:highlight w:val="yellow"/>
        </w:rPr>
      </w:pPr>
      <w:r w:rsidRPr="005204DB">
        <w:rPr>
          <w:rFonts w:ascii="Times New Roman" w:eastAsiaTheme="minorEastAsia" w:hAnsi="Times New Roman" w:cs="Times New Roman"/>
          <w:b/>
          <w:i/>
          <w:color w:val="000000" w:themeColor="text1"/>
          <w:sz w:val="23"/>
          <w:szCs w:val="23"/>
        </w:rPr>
        <w:t xml:space="preserve">Describe how the state is using funds under Section 243 to support the following activities under the IELCE program: </w:t>
      </w:r>
    </w:p>
    <w:p w:rsidR="006A5196" w:rsidRPr="005204DB" w:rsidRDefault="006A5196" w:rsidP="000B6FB9">
      <w:pPr>
        <w:pStyle w:val="ListParagraph"/>
        <w:numPr>
          <w:ilvl w:val="0"/>
          <w:numId w:val="12"/>
        </w:numPr>
        <w:spacing w:after="0" w:line="240" w:lineRule="auto"/>
        <w:rPr>
          <w:rFonts w:ascii="Times New Roman" w:eastAsiaTheme="minorEastAsia" w:hAnsi="Times New Roman" w:cs="Times New Roman"/>
          <w:i/>
          <w:color w:val="000000" w:themeColor="text1"/>
          <w:sz w:val="23"/>
          <w:szCs w:val="23"/>
        </w:rPr>
      </w:pPr>
      <w:r w:rsidRPr="005204DB">
        <w:rPr>
          <w:rFonts w:ascii="Times New Roman" w:eastAsiaTheme="minorEastAsia" w:hAnsi="Times New Roman" w:cs="Times New Roman"/>
          <w:i/>
          <w:color w:val="000000" w:themeColor="text1"/>
          <w:sz w:val="23"/>
          <w:szCs w:val="23"/>
        </w:rPr>
        <w:t xml:space="preserve">Describe when your State held a competition [the latest competition] for IELCE program funds and the number of grants awarded by your State to support IELCE programs.   </w:t>
      </w:r>
    </w:p>
    <w:p w:rsidR="00DE7D1B" w:rsidRPr="005204DB" w:rsidRDefault="00DE7D1B" w:rsidP="000B6FB9">
      <w:pPr>
        <w:pStyle w:val="ListParagraph"/>
        <w:spacing w:after="0" w:line="240" w:lineRule="auto"/>
        <w:ind w:left="0"/>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Grants for the IELCE program were comp</w:t>
      </w:r>
      <w:r w:rsidR="00C23883">
        <w:rPr>
          <w:rFonts w:ascii="Times New Roman" w:eastAsiaTheme="minorEastAsia" w:hAnsi="Times New Roman" w:cs="Times New Roman"/>
          <w:sz w:val="23"/>
          <w:szCs w:val="23"/>
        </w:rPr>
        <w:t>l</w:t>
      </w:r>
      <w:r w:rsidRPr="005204DB">
        <w:rPr>
          <w:rFonts w:ascii="Times New Roman" w:eastAsiaTheme="minorEastAsia" w:hAnsi="Times New Roman" w:cs="Times New Roman"/>
          <w:sz w:val="23"/>
          <w:szCs w:val="23"/>
        </w:rPr>
        <w:t>eted in the spring of 2020.  Three</w:t>
      </w:r>
      <w:r w:rsidR="002D0A67" w:rsidRPr="005204DB">
        <w:rPr>
          <w:rFonts w:ascii="Times New Roman" w:eastAsiaTheme="minorEastAsia" w:hAnsi="Times New Roman" w:cs="Times New Roman"/>
          <w:sz w:val="23"/>
          <w:szCs w:val="23"/>
        </w:rPr>
        <w:t xml:space="preserve"> IELCE grants were awarded and began</w:t>
      </w:r>
      <w:r w:rsidRPr="005204DB">
        <w:rPr>
          <w:rFonts w:ascii="Times New Roman" w:eastAsiaTheme="minorEastAsia" w:hAnsi="Times New Roman" w:cs="Times New Roman"/>
          <w:sz w:val="23"/>
          <w:szCs w:val="23"/>
        </w:rPr>
        <w:t xml:space="preserve"> operations</w:t>
      </w:r>
      <w:r w:rsidR="002D0A67" w:rsidRPr="005204DB">
        <w:rPr>
          <w:rFonts w:ascii="Times New Roman" w:eastAsiaTheme="minorEastAsia" w:hAnsi="Times New Roman" w:cs="Times New Roman"/>
          <w:sz w:val="23"/>
          <w:szCs w:val="23"/>
        </w:rPr>
        <w:t xml:space="preserve"> in</w:t>
      </w:r>
      <w:r w:rsidRPr="005204DB">
        <w:rPr>
          <w:rFonts w:ascii="Times New Roman" w:eastAsiaTheme="minorEastAsia" w:hAnsi="Times New Roman" w:cs="Times New Roman"/>
          <w:sz w:val="23"/>
          <w:szCs w:val="23"/>
        </w:rPr>
        <w:t xml:space="preserve"> July, 2020.  The three programs awarded IELCE grants are Literacy Kansas City, St. Charles Community College and East Central College in Union.</w:t>
      </w:r>
      <w:r w:rsidR="00B57682" w:rsidRPr="005204DB">
        <w:rPr>
          <w:rFonts w:ascii="Times New Roman" w:eastAsiaTheme="minorEastAsia" w:hAnsi="Times New Roman" w:cs="Times New Roman"/>
          <w:sz w:val="23"/>
          <w:szCs w:val="23"/>
        </w:rPr>
        <w:t xml:space="preserve"> These programs were chosen for their focus on integration with workforce training and </w:t>
      </w:r>
      <w:r w:rsidR="004140D8" w:rsidRPr="005204DB">
        <w:rPr>
          <w:rFonts w:ascii="Times New Roman" w:eastAsiaTheme="minorEastAsia" w:hAnsi="Times New Roman" w:cs="Times New Roman"/>
          <w:sz w:val="23"/>
          <w:szCs w:val="23"/>
        </w:rPr>
        <w:t>targeting specific subpopulations.</w:t>
      </w:r>
    </w:p>
    <w:p w:rsidR="00DE7D1B" w:rsidRPr="005204DB" w:rsidRDefault="00DE7D1B" w:rsidP="000B6FB9">
      <w:pPr>
        <w:spacing w:after="0" w:line="240" w:lineRule="auto"/>
        <w:rPr>
          <w:rFonts w:ascii="Times New Roman" w:eastAsiaTheme="minorEastAsia" w:hAnsi="Times New Roman" w:cs="Times New Roman"/>
          <w:i/>
          <w:color w:val="000000" w:themeColor="text1"/>
          <w:sz w:val="23"/>
          <w:szCs w:val="23"/>
        </w:rPr>
      </w:pPr>
    </w:p>
    <w:p w:rsidR="006A5196" w:rsidRPr="005204DB" w:rsidRDefault="006A5196" w:rsidP="000B6FB9">
      <w:pPr>
        <w:pStyle w:val="ListParagraph"/>
        <w:numPr>
          <w:ilvl w:val="0"/>
          <w:numId w:val="12"/>
        </w:numPr>
        <w:spacing w:after="0" w:line="240" w:lineRule="auto"/>
        <w:rPr>
          <w:rFonts w:ascii="Times New Roman" w:eastAsiaTheme="minorEastAsia" w:hAnsi="Times New Roman" w:cs="Times New Roman"/>
          <w:i/>
          <w:color w:val="000000" w:themeColor="text1"/>
          <w:sz w:val="23"/>
          <w:szCs w:val="23"/>
        </w:rPr>
      </w:pPr>
      <w:r w:rsidRPr="005204DB">
        <w:rPr>
          <w:rFonts w:ascii="Times New Roman" w:eastAsiaTheme="minorEastAsia" w:hAnsi="Times New Roman" w:cs="Times New Roman"/>
          <w:i/>
          <w:color w:val="000000" w:themeColor="text1"/>
          <w:sz w:val="23"/>
          <w:szCs w:val="23"/>
        </w:rPr>
        <w:t>Describe your State efforts in meeting the requirement to provide IELCE services in combination with integrated ed</w:t>
      </w:r>
      <w:r w:rsidR="00F61FB3" w:rsidRPr="005204DB">
        <w:rPr>
          <w:rFonts w:ascii="Times New Roman" w:eastAsiaTheme="minorEastAsia" w:hAnsi="Times New Roman" w:cs="Times New Roman"/>
          <w:i/>
          <w:color w:val="000000" w:themeColor="text1"/>
          <w:sz w:val="23"/>
          <w:szCs w:val="23"/>
        </w:rPr>
        <w:t>ucation and training activities.</w:t>
      </w:r>
      <w:r w:rsidRPr="005204DB">
        <w:rPr>
          <w:rFonts w:ascii="Times New Roman" w:eastAsiaTheme="minorEastAsia" w:hAnsi="Times New Roman" w:cs="Times New Roman"/>
          <w:i/>
          <w:color w:val="000000" w:themeColor="text1"/>
          <w:sz w:val="23"/>
          <w:szCs w:val="23"/>
        </w:rPr>
        <w:t xml:space="preserve"> </w:t>
      </w:r>
    </w:p>
    <w:p w:rsidR="00F61FB3" w:rsidRPr="005204DB" w:rsidRDefault="00E45B12" w:rsidP="000B6FB9">
      <w:pPr>
        <w:pStyle w:val="ListParagraph"/>
        <w:spacing w:after="0" w:line="240" w:lineRule="auto"/>
        <w:ind w:left="0"/>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 xml:space="preserve">The </w:t>
      </w:r>
      <w:r w:rsidR="002A69B7" w:rsidRPr="005204DB">
        <w:rPr>
          <w:rFonts w:ascii="Times New Roman" w:eastAsiaTheme="minorEastAsia" w:hAnsi="Times New Roman" w:cs="Times New Roman"/>
          <w:sz w:val="23"/>
          <w:szCs w:val="23"/>
        </w:rPr>
        <w:t>DESE AEL</w:t>
      </w:r>
      <w:r w:rsidR="00C23883">
        <w:rPr>
          <w:rFonts w:ascii="Times New Roman" w:eastAsiaTheme="minorEastAsia" w:hAnsi="Times New Roman" w:cs="Times New Roman"/>
          <w:sz w:val="23"/>
          <w:szCs w:val="23"/>
        </w:rPr>
        <w:t xml:space="preserve"> section </w:t>
      </w:r>
      <w:r w:rsidR="002D0A67" w:rsidRPr="005204DB">
        <w:rPr>
          <w:rFonts w:ascii="Times New Roman" w:eastAsiaTheme="minorEastAsia" w:hAnsi="Times New Roman" w:cs="Times New Roman"/>
          <w:sz w:val="23"/>
          <w:szCs w:val="23"/>
        </w:rPr>
        <w:t>enforces requirements</w:t>
      </w:r>
      <w:r w:rsidRPr="005204DB">
        <w:rPr>
          <w:rFonts w:ascii="Times New Roman" w:eastAsiaTheme="minorEastAsia" w:hAnsi="Times New Roman" w:cs="Times New Roman"/>
          <w:sz w:val="23"/>
          <w:szCs w:val="23"/>
        </w:rPr>
        <w:t xml:space="preserve"> to provide IELCE services in combination with integrated education and training</w:t>
      </w:r>
      <w:r w:rsidR="002D0A67" w:rsidRPr="005204DB">
        <w:rPr>
          <w:rFonts w:ascii="Times New Roman" w:eastAsiaTheme="minorEastAsia" w:hAnsi="Times New Roman" w:cs="Times New Roman"/>
          <w:sz w:val="23"/>
          <w:szCs w:val="23"/>
        </w:rPr>
        <w:t xml:space="preserve"> (IET) activities through </w:t>
      </w:r>
      <w:r w:rsidRPr="005204DB">
        <w:rPr>
          <w:rFonts w:ascii="Times New Roman" w:eastAsiaTheme="minorEastAsia" w:hAnsi="Times New Roman" w:cs="Times New Roman"/>
          <w:sz w:val="23"/>
          <w:szCs w:val="23"/>
        </w:rPr>
        <w:t xml:space="preserve">the grant specifications. In an effort to provide IELCE services in combination with integrated education and training activities, </w:t>
      </w:r>
      <w:r w:rsidR="002D0A67" w:rsidRPr="005204DB">
        <w:rPr>
          <w:rFonts w:ascii="Times New Roman" w:eastAsiaTheme="minorEastAsia" w:hAnsi="Times New Roman" w:cs="Times New Roman"/>
          <w:sz w:val="23"/>
          <w:szCs w:val="23"/>
        </w:rPr>
        <w:t>all</w:t>
      </w:r>
      <w:r w:rsidRPr="005204DB">
        <w:rPr>
          <w:rFonts w:ascii="Times New Roman" w:eastAsiaTheme="minorEastAsia" w:hAnsi="Times New Roman" w:cs="Times New Roman"/>
          <w:sz w:val="23"/>
          <w:szCs w:val="23"/>
        </w:rPr>
        <w:t xml:space="preserve"> three</w:t>
      </w:r>
      <w:r w:rsidR="002D0A67" w:rsidRPr="005204DB">
        <w:rPr>
          <w:rFonts w:ascii="Times New Roman" w:eastAsiaTheme="minorEastAsia" w:hAnsi="Times New Roman" w:cs="Times New Roman"/>
          <w:sz w:val="23"/>
          <w:szCs w:val="23"/>
        </w:rPr>
        <w:t xml:space="preserve"> funded</w:t>
      </w:r>
      <w:r w:rsidRPr="005204DB">
        <w:rPr>
          <w:rFonts w:ascii="Times New Roman" w:eastAsiaTheme="minorEastAsia" w:hAnsi="Times New Roman" w:cs="Times New Roman"/>
          <w:sz w:val="23"/>
          <w:szCs w:val="23"/>
        </w:rPr>
        <w:t xml:space="preserve"> programs have a variety of IET options available</w:t>
      </w:r>
      <w:r w:rsidR="00F61FB3" w:rsidRPr="005204DB">
        <w:rPr>
          <w:rFonts w:ascii="Times New Roman" w:eastAsiaTheme="minorEastAsia" w:hAnsi="Times New Roman" w:cs="Times New Roman"/>
          <w:sz w:val="23"/>
          <w:szCs w:val="23"/>
        </w:rPr>
        <w:t xml:space="preserve">. </w:t>
      </w:r>
    </w:p>
    <w:p w:rsidR="00F61FB3" w:rsidRPr="005204DB" w:rsidRDefault="00F61FB3" w:rsidP="000B6FB9">
      <w:pPr>
        <w:pStyle w:val="ListParagraph"/>
        <w:autoSpaceDE w:val="0"/>
        <w:autoSpaceDN w:val="0"/>
        <w:adjustRightInd w:val="0"/>
        <w:spacing w:after="0" w:line="240" w:lineRule="auto"/>
        <w:ind w:left="360"/>
        <w:rPr>
          <w:rFonts w:ascii="Times New Roman" w:eastAsiaTheme="minorEastAsia" w:hAnsi="Times New Roman" w:cs="Times New Roman"/>
          <w:sz w:val="23"/>
          <w:szCs w:val="23"/>
        </w:rPr>
      </w:pPr>
    </w:p>
    <w:p w:rsidR="00E45B12" w:rsidRPr="005204DB" w:rsidRDefault="002D0A67" w:rsidP="000B6FB9">
      <w:pPr>
        <w:pStyle w:val="ListParagraph"/>
        <w:spacing w:after="0" w:line="240" w:lineRule="auto"/>
        <w:ind w:left="0"/>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lastRenderedPageBreak/>
        <w:t xml:space="preserve">Through this initiative, these </w:t>
      </w:r>
      <w:r w:rsidR="00E45B12" w:rsidRPr="005204DB">
        <w:rPr>
          <w:rFonts w:ascii="Times New Roman" w:eastAsiaTheme="minorEastAsia" w:hAnsi="Times New Roman" w:cs="Times New Roman"/>
          <w:sz w:val="23"/>
          <w:szCs w:val="23"/>
        </w:rPr>
        <w:t>students may receive certification in welding, carpentry, masonry, painting</w:t>
      </w:r>
      <w:r w:rsidRPr="005204DB">
        <w:rPr>
          <w:rFonts w:ascii="Times New Roman" w:eastAsiaTheme="minorEastAsia" w:hAnsi="Times New Roman" w:cs="Times New Roman"/>
          <w:sz w:val="23"/>
          <w:szCs w:val="23"/>
        </w:rPr>
        <w:t>,</w:t>
      </w:r>
      <w:r w:rsidR="00E45B12" w:rsidRPr="005204DB">
        <w:rPr>
          <w:rFonts w:ascii="Times New Roman" w:eastAsiaTheme="minorEastAsia" w:hAnsi="Times New Roman" w:cs="Times New Roman"/>
          <w:sz w:val="23"/>
          <w:szCs w:val="23"/>
        </w:rPr>
        <w:t xml:space="preserve"> medical office support, etc.  In additi</w:t>
      </w:r>
      <w:r w:rsidR="00F61FB3" w:rsidRPr="005204DB">
        <w:rPr>
          <w:rFonts w:ascii="Times New Roman" w:eastAsiaTheme="minorEastAsia" w:hAnsi="Times New Roman" w:cs="Times New Roman"/>
          <w:sz w:val="23"/>
          <w:szCs w:val="23"/>
        </w:rPr>
        <w:t xml:space="preserve">on, they </w:t>
      </w:r>
      <w:r w:rsidRPr="005204DB">
        <w:rPr>
          <w:rFonts w:ascii="Times New Roman" w:eastAsiaTheme="minorEastAsia" w:hAnsi="Times New Roman" w:cs="Times New Roman"/>
          <w:sz w:val="23"/>
          <w:szCs w:val="23"/>
        </w:rPr>
        <w:t>can attain</w:t>
      </w:r>
      <w:r w:rsidR="00F61FB3" w:rsidRPr="005204DB">
        <w:rPr>
          <w:rFonts w:ascii="Times New Roman" w:eastAsiaTheme="minorEastAsia" w:hAnsi="Times New Roman" w:cs="Times New Roman"/>
          <w:sz w:val="23"/>
          <w:szCs w:val="23"/>
        </w:rPr>
        <w:t xml:space="preserve"> certifications in</w:t>
      </w:r>
      <w:r w:rsidRPr="005204DB">
        <w:rPr>
          <w:rFonts w:ascii="Times New Roman" w:eastAsiaTheme="minorEastAsia" w:hAnsi="Times New Roman" w:cs="Times New Roman"/>
          <w:sz w:val="23"/>
          <w:szCs w:val="23"/>
        </w:rPr>
        <w:t>: m</w:t>
      </w:r>
      <w:r w:rsidR="00E45B12" w:rsidRPr="005204DB">
        <w:rPr>
          <w:rFonts w:ascii="Times New Roman" w:eastAsiaTheme="minorEastAsia" w:hAnsi="Times New Roman" w:cs="Times New Roman"/>
          <w:sz w:val="23"/>
          <w:szCs w:val="23"/>
        </w:rPr>
        <w:t>edi</w:t>
      </w:r>
      <w:r w:rsidRPr="005204DB">
        <w:rPr>
          <w:rFonts w:ascii="Times New Roman" w:eastAsiaTheme="minorEastAsia" w:hAnsi="Times New Roman" w:cs="Times New Roman"/>
          <w:sz w:val="23"/>
          <w:szCs w:val="23"/>
        </w:rPr>
        <w:t>cal terminology, blood b</w:t>
      </w:r>
      <w:r w:rsidR="00563827" w:rsidRPr="005204DB">
        <w:rPr>
          <w:rFonts w:ascii="Times New Roman" w:eastAsiaTheme="minorEastAsia" w:hAnsi="Times New Roman" w:cs="Times New Roman"/>
          <w:sz w:val="23"/>
          <w:szCs w:val="23"/>
        </w:rPr>
        <w:t>orne pathogens, phlebotomy, HIPA</w:t>
      </w:r>
      <w:r w:rsidRPr="005204DB">
        <w:rPr>
          <w:rFonts w:ascii="Times New Roman" w:eastAsiaTheme="minorEastAsia" w:hAnsi="Times New Roman" w:cs="Times New Roman"/>
          <w:sz w:val="23"/>
          <w:szCs w:val="23"/>
        </w:rPr>
        <w:t>A</w:t>
      </w:r>
      <w:r w:rsidR="00E45B12" w:rsidRPr="005204DB">
        <w:rPr>
          <w:rFonts w:ascii="Times New Roman" w:eastAsiaTheme="minorEastAsia" w:hAnsi="Times New Roman" w:cs="Times New Roman"/>
          <w:sz w:val="23"/>
          <w:szCs w:val="23"/>
        </w:rPr>
        <w:t>-Health Insurance Por</w:t>
      </w:r>
      <w:r w:rsidRPr="005204DB">
        <w:rPr>
          <w:rFonts w:ascii="Times New Roman" w:eastAsiaTheme="minorEastAsia" w:hAnsi="Times New Roman" w:cs="Times New Roman"/>
          <w:sz w:val="23"/>
          <w:szCs w:val="23"/>
        </w:rPr>
        <w:t>tability &amp; Accountability Act, f</w:t>
      </w:r>
      <w:r w:rsidR="004B50E0" w:rsidRPr="005204DB">
        <w:rPr>
          <w:rFonts w:ascii="Times New Roman" w:eastAsiaTheme="minorEastAsia" w:hAnsi="Times New Roman" w:cs="Times New Roman"/>
          <w:sz w:val="23"/>
          <w:szCs w:val="23"/>
        </w:rPr>
        <w:t>irst aid, and C</w:t>
      </w:r>
      <w:r w:rsidR="00E45B12" w:rsidRPr="005204DB">
        <w:rPr>
          <w:rFonts w:ascii="Times New Roman" w:eastAsiaTheme="minorEastAsia" w:hAnsi="Times New Roman" w:cs="Times New Roman"/>
          <w:sz w:val="23"/>
          <w:szCs w:val="23"/>
        </w:rPr>
        <w:t>ertified Medical Assistant.  Job Corp</w:t>
      </w:r>
      <w:r w:rsidRPr="005204DB">
        <w:rPr>
          <w:rFonts w:ascii="Times New Roman" w:eastAsiaTheme="minorEastAsia" w:hAnsi="Times New Roman" w:cs="Times New Roman"/>
          <w:sz w:val="23"/>
          <w:szCs w:val="23"/>
        </w:rPr>
        <w:t>s</w:t>
      </w:r>
      <w:r w:rsidR="004B50E0" w:rsidRPr="005204DB">
        <w:rPr>
          <w:rFonts w:ascii="Times New Roman" w:eastAsiaTheme="minorEastAsia" w:hAnsi="Times New Roman" w:cs="Times New Roman"/>
          <w:sz w:val="23"/>
          <w:szCs w:val="23"/>
        </w:rPr>
        <w:t xml:space="preserve"> also offers AEL students: ServSafe Food H</w:t>
      </w:r>
      <w:r w:rsidR="00E45B12" w:rsidRPr="005204DB">
        <w:rPr>
          <w:rFonts w:ascii="Times New Roman" w:eastAsiaTheme="minorEastAsia" w:hAnsi="Times New Roman" w:cs="Times New Roman"/>
          <w:sz w:val="23"/>
          <w:szCs w:val="23"/>
        </w:rPr>
        <w:t>andlers, Handcuffing Certification, Oleoresin Capsicum Spray Certification, Police Expandable Baton Certification, OSHA 10+, Power</w:t>
      </w:r>
      <w:r w:rsidR="004B50E0" w:rsidRPr="005204DB">
        <w:rPr>
          <w:rFonts w:ascii="Times New Roman" w:eastAsiaTheme="minorEastAsia" w:hAnsi="Times New Roman" w:cs="Times New Roman"/>
          <w:sz w:val="23"/>
          <w:szCs w:val="23"/>
        </w:rPr>
        <w:t xml:space="preserve"> Actuated Tools, Lead Awareness</w:t>
      </w:r>
      <w:r w:rsidR="00E45B12" w:rsidRPr="005204DB">
        <w:rPr>
          <w:rFonts w:ascii="Times New Roman" w:eastAsiaTheme="minorEastAsia" w:hAnsi="Times New Roman" w:cs="Times New Roman"/>
          <w:sz w:val="23"/>
          <w:szCs w:val="23"/>
        </w:rPr>
        <w:t xml:space="preserve"> and Building Construction Fundamentals. </w:t>
      </w:r>
      <w:r w:rsidR="004B50E0" w:rsidRPr="005204DB">
        <w:rPr>
          <w:rFonts w:ascii="Times New Roman" w:eastAsiaTheme="minorEastAsia" w:hAnsi="Times New Roman" w:cs="Times New Roman"/>
          <w:sz w:val="23"/>
          <w:szCs w:val="23"/>
        </w:rPr>
        <w:t xml:space="preserve">Students may also be placed with </w:t>
      </w:r>
      <w:r w:rsidR="00E45B12" w:rsidRPr="005204DB">
        <w:rPr>
          <w:rFonts w:ascii="Times New Roman" w:eastAsiaTheme="minorEastAsia" w:hAnsi="Times New Roman" w:cs="Times New Roman"/>
          <w:sz w:val="23"/>
          <w:szCs w:val="23"/>
        </w:rPr>
        <w:t>YouthBuild, the Department o</w:t>
      </w:r>
      <w:r w:rsidR="004B50E0" w:rsidRPr="005204DB">
        <w:rPr>
          <w:rFonts w:ascii="Times New Roman" w:eastAsiaTheme="minorEastAsia" w:hAnsi="Times New Roman" w:cs="Times New Roman"/>
          <w:sz w:val="23"/>
          <w:szCs w:val="23"/>
        </w:rPr>
        <w:t xml:space="preserve">f Labor, Full Employment </w:t>
      </w:r>
      <w:r w:rsidR="00F15826" w:rsidRPr="005204DB">
        <w:rPr>
          <w:rFonts w:ascii="Times New Roman" w:eastAsiaTheme="minorEastAsia" w:hAnsi="Times New Roman" w:cs="Times New Roman"/>
          <w:sz w:val="23"/>
          <w:szCs w:val="23"/>
        </w:rPr>
        <w:t>Council</w:t>
      </w:r>
      <w:r w:rsidR="00E45B12" w:rsidRPr="005204DB">
        <w:rPr>
          <w:rFonts w:ascii="Times New Roman" w:eastAsiaTheme="minorEastAsia" w:hAnsi="Times New Roman" w:cs="Times New Roman"/>
          <w:sz w:val="23"/>
          <w:szCs w:val="23"/>
        </w:rPr>
        <w:t>, Job Corp</w:t>
      </w:r>
      <w:r w:rsidR="004B50E0" w:rsidRPr="005204DB">
        <w:rPr>
          <w:rFonts w:ascii="Times New Roman" w:eastAsiaTheme="minorEastAsia" w:hAnsi="Times New Roman" w:cs="Times New Roman"/>
          <w:sz w:val="23"/>
          <w:szCs w:val="23"/>
        </w:rPr>
        <w:t>s</w:t>
      </w:r>
      <w:r w:rsidR="00E45B12" w:rsidRPr="005204DB">
        <w:rPr>
          <w:rFonts w:ascii="Times New Roman" w:eastAsiaTheme="minorEastAsia" w:hAnsi="Times New Roman" w:cs="Times New Roman"/>
          <w:sz w:val="23"/>
          <w:szCs w:val="23"/>
        </w:rPr>
        <w:t>, The Sewing Labs, Allied Health, Truman Medical Center, Shopp</w:t>
      </w:r>
      <w:r w:rsidR="004B50E0" w:rsidRPr="005204DB">
        <w:rPr>
          <w:rFonts w:ascii="Times New Roman" w:eastAsiaTheme="minorEastAsia" w:hAnsi="Times New Roman" w:cs="Times New Roman"/>
          <w:sz w:val="23"/>
          <w:szCs w:val="23"/>
        </w:rPr>
        <w:t>es Toyota</w:t>
      </w:r>
      <w:r w:rsidR="00F61FB3" w:rsidRPr="005204DB">
        <w:rPr>
          <w:rFonts w:ascii="Times New Roman" w:eastAsiaTheme="minorEastAsia" w:hAnsi="Times New Roman" w:cs="Times New Roman"/>
          <w:sz w:val="23"/>
          <w:szCs w:val="23"/>
        </w:rPr>
        <w:t xml:space="preserve"> and the </w:t>
      </w:r>
      <w:r w:rsidR="004B50E0" w:rsidRPr="005204DB">
        <w:rPr>
          <w:rFonts w:ascii="Times New Roman" w:eastAsiaTheme="minorEastAsia" w:hAnsi="Times New Roman" w:cs="Times New Roman"/>
          <w:sz w:val="23"/>
          <w:szCs w:val="23"/>
        </w:rPr>
        <w:t>L</w:t>
      </w:r>
      <w:r w:rsidR="00F61FB3" w:rsidRPr="005204DB">
        <w:rPr>
          <w:rFonts w:ascii="Times New Roman" w:eastAsiaTheme="minorEastAsia" w:hAnsi="Times New Roman" w:cs="Times New Roman"/>
          <w:sz w:val="23"/>
          <w:szCs w:val="23"/>
        </w:rPr>
        <w:t>WD</w:t>
      </w:r>
      <w:r w:rsidR="00E45B12" w:rsidRPr="005204DB">
        <w:rPr>
          <w:rFonts w:ascii="Times New Roman" w:eastAsiaTheme="minorEastAsia" w:hAnsi="Times New Roman" w:cs="Times New Roman"/>
          <w:sz w:val="23"/>
          <w:szCs w:val="23"/>
        </w:rPr>
        <w:t>Bs for</w:t>
      </w:r>
      <w:r w:rsidR="004B50E0" w:rsidRPr="005204DB">
        <w:rPr>
          <w:rFonts w:ascii="Times New Roman" w:eastAsiaTheme="minorEastAsia" w:hAnsi="Times New Roman" w:cs="Times New Roman"/>
          <w:sz w:val="23"/>
          <w:szCs w:val="23"/>
        </w:rPr>
        <w:t xml:space="preserve"> St. Charles County,</w:t>
      </w:r>
      <w:r w:rsidR="00E45B12" w:rsidRPr="005204DB">
        <w:rPr>
          <w:rFonts w:ascii="Times New Roman" w:eastAsiaTheme="minorEastAsia" w:hAnsi="Times New Roman" w:cs="Times New Roman"/>
          <w:sz w:val="23"/>
          <w:szCs w:val="23"/>
        </w:rPr>
        <w:t xml:space="preserve"> Eastern Jackson County and Kansas City to provide IET opportunities for the IELCE students in fork lift driving,</w:t>
      </w:r>
      <w:r w:rsidR="004B50E0" w:rsidRPr="005204DB">
        <w:rPr>
          <w:rFonts w:ascii="Times New Roman" w:eastAsiaTheme="minorEastAsia" w:hAnsi="Times New Roman" w:cs="Times New Roman"/>
          <w:sz w:val="23"/>
          <w:szCs w:val="23"/>
        </w:rPr>
        <w:t xml:space="preserve"> hospitality, healthcare, </w:t>
      </w:r>
      <w:r w:rsidR="00FD3150" w:rsidRPr="005204DB">
        <w:rPr>
          <w:rFonts w:ascii="Times New Roman" w:eastAsiaTheme="minorEastAsia" w:hAnsi="Times New Roman" w:cs="Times New Roman"/>
          <w:sz w:val="23"/>
          <w:szCs w:val="23"/>
        </w:rPr>
        <w:t xml:space="preserve">logistics, </w:t>
      </w:r>
      <w:r w:rsidR="004B50E0" w:rsidRPr="005204DB">
        <w:rPr>
          <w:rFonts w:ascii="Times New Roman" w:eastAsiaTheme="minorEastAsia" w:hAnsi="Times New Roman" w:cs="Times New Roman"/>
          <w:sz w:val="23"/>
          <w:szCs w:val="23"/>
        </w:rPr>
        <w:t>commercial sewing</w:t>
      </w:r>
      <w:r w:rsidR="00E45B12" w:rsidRPr="005204DB">
        <w:rPr>
          <w:rFonts w:ascii="Times New Roman" w:eastAsiaTheme="minorEastAsia" w:hAnsi="Times New Roman" w:cs="Times New Roman"/>
          <w:sz w:val="23"/>
          <w:szCs w:val="23"/>
        </w:rPr>
        <w:t xml:space="preserve"> and construction trades. </w:t>
      </w:r>
    </w:p>
    <w:p w:rsidR="00E45B12" w:rsidRPr="005204DB" w:rsidRDefault="00E45B12" w:rsidP="000B6FB9">
      <w:pPr>
        <w:pStyle w:val="ListParagraph"/>
        <w:spacing w:after="0" w:line="240" w:lineRule="auto"/>
        <w:ind w:left="0"/>
        <w:rPr>
          <w:rFonts w:ascii="Times New Roman" w:eastAsiaTheme="minorEastAsia" w:hAnsi="Times New Roman" w:cs="Times New Roman"/>
          <w:sz w:val="23"/>
          <w:szCs w:val="23"/>
        </w:rPr>
      </w:pPr>
    </w:p>
    <w:p w:rsidR="00E45B12" w:rsidRPr="005204DB" w:rsidRDefault="00F61FB3" w:rsidP="000B6FB9">
      <w:pPr>
        <w:pStyle w:val="ListParagraph"/>
        <w:spacing w:after="0" w:line="240" w:lineRule="auto"/>
        <w:ind w:left="0"/>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A major</w:t>
      </w:r>
      <w:r w:rsidR="00E45B12" w:rsidRPr="005204DB">
        <w:rPr>
          <w:rFonts w:ascii="Times New Roman" w:eastAsiaTheme="minorEastAsia" w:hAnsi="Times New Roman" w:cs="Times New Roman"/>
          <w:sz w:val="23"/>
          <w:szCs w:val="23"/>
        </w:rPr>
        <w:t xml:space="preserve"> challenge </w:t>
      </w:r>
      <w:r w:rsidR="003B4B55" w:rsidRPr="005204DB">
        <w:rPr>
          <w:rFonts w:ascii="Times New Roman" w:eastAsiaTheme="minorEastAsia" w:hAnsi="Times New Roman" w:cs="Times New Roman"/>
          <w:sz w:val="23"/>
          <w:szCs w:val="23"/>
        </w:rPr>
        <w:t>in the delivery of</w:t>
      </w:r>
      <w:r w:rsidRPr="005204DB">
        <w:rPr>
          <w:rFonts w:ascii="Times New Roman" w:eastAsiaTheme="minorEastAsia" w:hAnsi="Times New Roman" w:cs="Times New Roman"/>
          <w:sz w:val="23"/>
          <w:szCs w:val="23"/>
        </w:rPr>
        <w:t xml:space="preserve"> </w:t>
      </w:r>
      <w:r w:rsidR="003B4B55" w:rsidRPr="005204DB">
        <w:rPr>
          <w:rFonts w:ascii="Times New Roman" w:eastAsiaTheme="minorEastAsia" w:hAnsi="Times New Roman" w:cs="Times New Roman"/>
          <w:sz w:val="23"/>
          <w:szCs w:val="23"/>
        </w:rPr>
        <w:t xml:space="preserve">IET </w:t>
      </w:r>
      <w:r w:rsidRPr="005204DB">
        <w:rPr>
          <w:rFonts w:ascii="Times New Roman" w:eastAsiaTheme="minorEastAsia" w:hAnsi="Times New Roman" w:cs="Times New Roman"/>
          <w:sz w:val="23"/>
          <w:szCs w:val="23"/>
        </w:rPr>
        <w:t>services is that</w:t>
      </w:r>
      <w:r w:rsidR="00E45B12" w:rsidRPr="005204DB">
        <w:rPr>
          <w:rFonts w:ascii="Times New Roman" w:eastAsiaTheme="minorEastAsia" w:hAnsi="Times New Roman" w:cs="Times New Roman"/>
          <w:sz w:val="23"/>
          <w:szCs w:val="23"/>
        </w:rPr>
        <w:t xml:space="preserve"> many </w:t>
      </w:r>
      <w:r w:rsidR="003B4B55" w:rsidRPr="005204DB">
        <w:rPr>
          <w:rFonts w:ascii="Times New Roman" w:eastAsiaTheme="minorEastAsia" w:hAnsi="Times New Roman" w:cs="Times New Roman"/>
          <w:sz w:val="23"/>
          <w:szCs w:val="23"/>
        </w:rPr>
        <w:t>IELCE students work multiple</w:t>
      </w:r>
      <w:r w:rsidR="00E45B12" w:rsidRPr="005204DB">
        <w:rPr>
          <w:rFonts w:ascii="Times New Roman" w:eastAsiaTheme="minorEastAsia" w:hAnsi="Times New Roman" w:cs="Times New Roman"/>
          <w:sz w:val="23"/>
          <w:szCs w:val="23"/>
        </w:rPr>
        <w:t xml:space="preserve"> jobs as they learn English and the skills necessary for higher wage employment. </w:t>
      </w:r>
      <w:r w:rsidRPr="005204DB">
        <w:rPr>
          <w:rFonts w:ascii="Times New Roman" w:eastAsiaTheme="minorEastAsia" w:hAnsi="Times New Roman" w:cs="Times New Roman"/>
          <w:sz w:val="23"/>
          <w:szCs w:val="23"/>
        </w:rPr>
        <w:t>In FY20, these adults were faced with more barriers as the pandemic impacted their employment and family life.</w:t>
      </w:r>
      <w:r w:rsidR="00E45B12" w:rsidRPr="005204DB">
        <w:rPr>
          <w:rFonts w:ascii="Times New Roman" w:eastAsiaTheme="minorEastAsia" w:hAnsi="Times New Roman" w:cs="Times New Roman"/>
          <w:sz w:val="23"/>
          <w:szCs w:val="23"/>
        </w:rPr>
        <w:t xml:space="preserve"> </w:t>
      </w:r>
      <w:r w:rsidRPr="005204DB">
        <w:rPr>
          <w:rFonts w:ascii="Times New Roman" w:eastAsiaTheme="minorEastAsia" w:hAnsi="Times New Roman" w:cs="Times New Roman"/>
          <w:sz w:val="23"/>
          <w:szCs w:val="23"/>
        </w:rPr>
        <w:t>This situation was detrimental to enrollment. Programs</w:t>
      </w:r>
      <w:r w:rsidR="00E45B12" w:rsidRPr="005204DB">
        <w:rPr>
          <w:rFonts w:ascii="Times New Roman" w:eastAsiaTheme="minorEastAsia" w:hAnsi="Times New Roman" w:cs="Times New Roman"/>
          <w:sz w:val="23"/>
          <w:szCs w:val="23"/>
        </w:rPr>
        <w:t xml:space="preserve"> will address this issue with more a</w:t>
      </w:r>
      <w:r w:rsidR="003B4B55" w:rsidRPr="005204DB">
        <w:rPr>
          <w:rFonts w:ascii="Times New Roman" w:eastAsiaTheme="minorEastAsia" w:hAnsi="Times New Roman" w:cs="Times New Roman"/>
          <w:sz w:val="23"/>
          <w:szCs w:val="23"/>
        </w:rPr>
        <w:t xml:space="preserve">ggressive recruiting </w:t>
      </w:r>
      <w:r w:rsidR="00F15826" w:rsidRPr="005204DB">
        <w:rPr>
          <w:rFonts w:ascii="Times New Roman" w:eastAsiaTheme="minorEastAsia" w:hAnsi="Times New Roman" w:cs="Times New Roman"/>
          <w:sz w:val="23"/>
          <w:szCs w:val="23"/>
        </w:rPr>
        <w:t>strategies</w:t>
      </w:r>
      <w:r w:rsidR="00E45B12" w:rsidRPr="005204DB">
        <w:rPr>
          <w:rFonts w:ascii="Times New Roman" w:eastAsiaTheme="minorEastAsia" w:hAnsi="Times New Roman" w:cs="Times New Roman"/>
          <w:sz w:val="23"/>
          <w:szCs w:val="23"/>
        </w:rPr>
        <w:t xml:space="preserve"> as well as searching for delivery methods and course offerings to tr</w:t>
      </w:r>
      <w:r w:rsidR="00C23883">
        <w:rPr>
          <w:rFonts w:ascii="Times New Roman" w:eastAsiaTheme="minorEastAsia" w:hAnsi="Times New Roman" w:cs="Times New Roman"/>
          <w:sz w:val="23"/>
          <w:szCs w:val="23"/>
        </w:rPr>
        <w:t>y to support the students who</w:t>
      </w:r>
      <w:r w:rsidR="00E45B12" w:rsidRPr="005204DB">
        <w:rPr>
          <w:rFonts w:ascii="Times New Roman" w:eastAsiaTheme="minorEastAsia" w:hAnsi="Times New Roman" w:cs="Times New Roman"/>
          <w:sz w:val="23"/>
          <w:szCs w:val="23"/>
        </w:rPr>
        <w:t xml:space="preserve"> wish to receive job training.</w:t>
      </w:r>
    </w:p>
    <w:p w:rsidR="00E45B12" w:rsidRPr="005204DB" w:rsidRDefault="00E45B12" w:rsidP="000B6FB9">
      <w:pPr>
        <w:spacing w:after="0" w:line="240" w:lineRule="auto"/>
        <w:rPr>
          <w:rFonts w:ascii="Times New Roman" w:eastAsiaTheme="minorEastAsia" w:hAnsi="Times New Roman" w:cs="Times New Roman"/>
          <w:i/>
          <w:color w:val="000000" w:themeColor="text1"/>
          <w:sz w:val="23"/>
          <w:szCs w:val="23"/>
        </w:rPr>
      </w:pPr>
    </w:p>
    <w:p w:rsidR="00713843" w:rsidRPr="005204DB" w:rsidRDefault="006A5196" w:rsidP="000B6FB9">
      <w:pPr>
        <w:pStyle w:val="ListParagraph"/>
        <w:numPr>
          <w:ilvl w:val="0"/>
          <w:numId w:val="12"/>
        </w:numPr>
        <w:spacing w:after="0" w:line="240" w:lineRule="auto"/>
        <w:rPr>
          <w:rFonts w:ascii="Times New Roman" w:eastAsiaTheme="minorEastAsia" w:hAnsi="Times New Roman" w:cs="Times New Roman"/>
          <w:i/>
          <w:color w:val="000000" w:themeColor="text1"/>
          <w:sz w:val="23"/>
          <w:szCs w:val="23"/>
        </w:rPr>
      </w:pPr>
      <w:r w:rsidRPr="005204DB">
        <w:rPr>
          <w:rFonts w:ascii="Times New Roman" w:eastAsiaTheme="minorEastAsia" w:hAnsi="Times New Roman" w:cs="Times New Roman"/>
          <w:i/>
          <w:color w:val="000000" w:themeColor="text1"/>
          <w:sz w:val="23"/>
          <w:szCs w:val="23"/>
        </w:rPr>
        <w:t>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w:t>
      </w:r>
      <w:r w:rsidR="00F61FB3" w:rsidRPr="005204DB">
        <w:rPr>
          <w:rFonts w:ascii="Times New Roman" w:eastAsiaTheme="minorEastAsia" w:hAnsi="Times New Roman" w:cs="Times New Roman"/>
          <w:i/>
          <w:color w:val="000000" w:themeColor="text1"/>
          <w:sz w:val="23"/>
          <w:szCs w:val="23"/>
        </w:rPr>
        <w:t>plementing those program goals.</w:t>
      </w:r>
    </w:p>
    <w:p w:rsidR="00F61FB3" w:rsidRPr="005204DB" w:rsidRDefault="00F61FB3" w:rsidP="000B6FB9">
      <w:pPr>
        <w:pStyle w:val="ListParagraph"/>
        <w:autoSpaceDE w:val="0"/>
        <w:autoSpaceDN w:val="0"/>
        <w:adjustRightInd w:val="0"/>
        <w:spacing w:after="0" w:line="240" w:lineRule="auto"/>
        <w:ind w:left="0"/>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 xml:space="preserve">One of the strengths of </w:t>
      </w:r>
      <w:r w:rsidR="00EF056D">
        <w:rPr>
          <w:rFonts w:ascii="Times New Roman" w:eastAsiaTheme="minorEastAsia" w:hAnsi="Times New Roman" w:cs="Times New Roman"/>
          <w:sz w:val="23"/>
          <w:szCs w:val="23"/>
        </w:rPr>
        <w:t xml:space="preserve">Missouri’s </w:t>
      </w:r>
      <w:r w:rsidR="00C23883">
        <w:rPr>
          <w:rFonts w:ascii="Times New Roman" w:eastAsiaTheme="minorEastAsia" w:hAnsi="Times New Roman" w:cs="Times New Roman"/>
          <w:sz w:val="23"/>
          <w:szCs w:val="23"/>
        </w:rPr>
        <w:t xml:space="preserve">DESE </w:t>
      </w:r>
      <w:r w:rsidR="00EF056D">
        <w:rPr>
          <w:rFonts w:ascii="Times New Roman" w:eastAsiaTheme="minorEastAsia" w:hAnsi="Times New Roman" w:cs="Times New Roman"/>
          <w:sz w:val="23"/>
          <w:szCs w:val="23"/>
        </w:rPr>
        <w:t>AEL</w:t>
      </w:r>
      <w:r w:rsidR="00C23883">
        <w:rPr>
          <w:rFonts w:ascii="Times New Roman" w:eastAsiaTheme="minorEastAsia" w:hAnsi="Times New Roman" w:cs="Times New Roman"/>
          <w:sz w:val="23"/>
          <w:szCs w:val="23"/>
        </w:rPr>
        <w:t xml:space="preserve"> section</w:t>
      </w:r>
      <w:r w:rsidR="00EF056D">
        <w:rPr>
          <w:rFonts w:ascii="Times New Roman" w:eastAsiaTheme="minorEastAsia" w:hAnsi="Times New Roman" w:cs="Times New Roman"/>
          <w:sz w:val="23"/>
          <w:szCs w:val="23"/>
        </w:rPr>
        <w:t xml:space="preserve"> is that</w:t>
      </w:r>
      <w:r w:rsidRPr="005204DB">
        <w:rPr>
          <w:rFonts w:ascii="Times New Roman" w:eastAsiaTheme="minorEastAsia" w:hAnsi="Times New Roman" w:cs="Times New Roman"/>
          <w:sz w:val="23"/>
          <w:szCs w:val="23"/>
        </w:rPr>
        <w:t xml:space="preserve"> when dealing with the various sizes and needs of our</w:t>
      </w:r>
      <w:r w:rsidR="00443829" w:rsidRPr="005204DB">
        <w:rPr>
          <w:rFonts w:ascii="Times New Roman" w:eastAsiaTheme="minorEastAsia" w:hAnsi="Times New Roman" w:cs="Times New Roman"/>
          <w:sz w:val="23"/>
          <w:szCs w:val="23"/>
        </w:rPr>
        <w:t xml:space="preserve"> local program, one size does </w:t>
      </w:r>
      <w:r w:rsidR="00443829" w:rsidRPr="005204DB">
        <w:rPr>
          <w:rFonts w:ascii="Times New Roman" w:eastAsiaTheme="minorEastAsia" w:hAnsi="Times New Roman" w:cs="Times New Roman"/>
          <w:i/>
          <w:sz w:val="23"/>
          <w:szCs w:val="23"/>
        </w:rPr>
        <w:t>not</w:t>
      </w:r>
      <w:r w:rsidR="00443829" w:rsidRPr="005204DB">
        <w:rPr>
          <w:rFonts w:ascii="Times New Roman" w:eastAsiaTheme="minorEastAsia" w:hAnsi="Times New Roman" w:cs="Times New Roman"/>
          <w:sz w:val="23"/>
          <w:szCs w:val="23"/>
        </w:rPr>
        <w:t xml:space="preserve"> fit all</w:t>
      </w:r>
      <w:r w:rsidRPr="005204DB">
        <w:rPr>
          <w:rFonts w:ascii="Times New Roman" w:eastAsiaTheme="minorEastAsia" w:hAnsi="Times New Roman" w:cs="Times New Roman"/>
          <w:sz w:val="23"/>
          <w:szCs w:val="23"/>
        </w:rPr>
        <w:t xml:space="preserve">.  Missouri’s </w:t>
      </w:r>
      <w:r w:rsidR="00C23883">
        <w:rPr>
          <w:rFonts w:ascii="Times New Roman" w:eastAsiaTheme="minorEastAsia" w:hAnsi="Times New Roman" w:cs="Times New Roman"/>
          <w:sz w:val="23"/>
          <w:szCs w:val="23"/>
        </w:rPr>
        <w:t xml:space="preserve">DESE </w:t>
      </w:r>
      <w:r w:rsidRPr="005204DB">
        <w:rPr>
          <w:rFonts w:ascii="Times New Roman" w:eastAsiaTheme="minorEastAsia" w:hAnsi="Times New Roman" w:cs="Times New Roman"/>
          <w:sz w:val="23"/>
          <w:szCs w:val="23"/>
        </w:rPr>
        <w:t xml:space="preserve">AEL </w:t>
      </w:r>
      <w:r w:rsidR="00C23883">
        <w:rPr>
          <w:rFonts w:ascii="Times New Roman" w:eastAsiaTheme="minorEastAsia" w:hAnsi="Times New Roman" w:cs="Times New Roman"/>
          <w:sz w:val="23"/>
          <w:szCs w:val="23"/>
        </w:rPr>
        <w:t>section</w:t>
      </w:r>
      <w:r w:rsidRPr="005204DB">
        <w:rPr>
          <w:rFonts w:ascii="Times New Roman" w:eastAsiaTheme="minorEastAsia" w:hAnsi="Times New Roman" w:cs="Times New Roman"/>
          <w:sz w:val="23"/>
          <w:szCs w:val="23"/>
        </w:rPr>
        <w:t xml:space="preserve"> provides </w:t>
      </w:r>
      <w:r w:rsidR="00443829" w:rsidRPr="005204DB">
        <w:rPr>
          <w:rFonts w:ascii="Times New Roman" w:eastAsiaTheme="minorEastAsia" w:hAnsi="Times New Roman" w:cs="Times New Roman"/>
          <w:sz w:val="23"/>
          <w:szCs w:val="23"/>
        </w:rPr>
        <w:t xml:space="preserve">individualized </w:t>
      </w:r>
      <w:r w:rsidRPr="005204DB">
        <w:rPr>
          <w:rFonts w:ascii="Times New Roman" w:eastAsiaTheme="minorEastAsia" w:hAnsi="Times New Roman" w:cs="Times New Roman"/>
          <w:sz w:val="23"/>
          <w:szCs w:val="23"/>
        </w:rPr>
        <w:t>support of the efforts being made towar</w:t>
      </w:r>
      <w:r w:rsidR="00443829" w:rsidRPr="005204DB">
        <w:rPr>
          <w:rFonts w:ascii="Times New Roman" w:eastAsiaTheme="minorEastAsia" w:hAnsi="Times New Roman" w:cs="Times New Roman"/>
          <w:sz w:val="23"/>
          <w:szCs w:val="23"/>
        </w:rPr>
        <w:t>d operating the IELCE program as difficulties arise. As DESE AEL strategizes to expand these programs across the state, it is imperative to ensure that the currently funded programs are achieving their purpose and serving students successfully.</w:t>
      </w:r>
    </w:p>
    <w:p w:rsidR="00F61FB3" w:rsidRPr="005204DB" w:rsidRDefault="00F61FB3" w:rsidP="000B6FB9">
      <w:pPr>
        <w:pStyle w:val="ListParagraph"/>
        <w:tabs>
          <w:tab w:val="left" w:pos="0"/>
          <w:tab w:val="left" w:pos="360"/>
          <w:tab w:val="left" w:pos="450"/>
        </w:tabs>
        <w:autoSpaceDE w:val="0"/>
        <w:autoSpaceDN w:val="0"/>
        <w:adjustRightInd w:val="0"/>
        <w:spacing w:after="0" w:line="240" w:lineRule="auto"/>
        <w:ind w:left="360"/>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 xml:space="preserve">  </w:t>
      </w:r>
    </w:p>
    <w:p w:rsidR="00F61FB3" w:rsidRPr="005204DB" w:rsidRDefault="00F61FB3" w:rsidP="000B6FB9">
      <w:pPr>
        <w:pStyle w:val="ListParagraph"/>
        <w:autoSpaceDE w:val="0"/>
        <w:autoSpaceDN w:val="0"/>
        <w:adjustRightInd w:val="0"/>
        <w:spacing w:after="0" w:line="240" w:lineRule="auto"/>
        <w:ind w:left="0"/>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Despit</w:t>
      </w:r>
      <w:r w:rsidR="00443829" w:rsidRPr="005204DB">
        <w:rPr>
          <w:rFonts w:ascii="Times New Roman" w:eastAsiaTheme="minorEastAsia" w:hAnsi="Times New Roman" w:cs="Times New Roman"/>
          <w:sz w:val="23"/>
          <w:szCs w:val="23"/>
        </w:rPr>
        <w:t>e its challenges, there are many</w:t>
      </w:r>
      <w:r w:rsidRPr="005204DB">
        <w:rPr>
          <w:rFonts w:ascii="Times New Roman" w:eastAsiaTheme="minorEastAsia" w:hAnsi="Times New Roman" w:cs="Times New Roman"/>
          <w:sz w:val="23"/>
          <w:szCs w:val="23"/>
        </w:rPr>
        <w:t xml:space="preserve"> positives</w:t>
      </w:r>
      <w:r w:rsidR="00443829" w:rsidRPr="005204DB">
        <w:rPr>
          <w:rFonts w:ascii="Times New Roman" w:eastAsiaTheme="minorEastAsia" w:hAnsi="Times New Roman" w:cs="Times New Roman"/>
          <w:sz w:val="23"/>
          <w:szCs w:val="23"/>
        </w:rPr>
        <w:t xml:space="preserve">, including the acknowledgment that </w:t>
      </w:r>
      <w:r w:rsidRPr="005204DB">
        <w:rPr>
          <w:rFonts w:ascii="Times New Roman" w:eastAsiaTheme="minorEastAsia" w:hAnsi="Times New Roman" w:cs="Times New Roman"/>
          <w:sz w:val="23"/>
          <w:szCs w:val="23"/>
        </w:rPr>
        <w:t xml:space="preserve">ESL students are highly motivated and truly interested in credentialing programs </w:t>
      </w:r>
      <w:r w:rsidR="00443829" w:rsidRPr="005204DB">
        <w:rPr>
          <w:rFonts w:ascii="Times New Roman" w:eastAsiaTheme="minorEastAsia" w:hAnsi="Times New Roman" w:cs="Times New Roman"/>
          <w:sz w:val="23"/>
          <w:szCs w:val="23"/>
        </w:rPr>
        <w:t xml:space="preserve">which often </w:t>
      </w:r>
      <w:r w:rsidR="00F15826" w:rsidRPr="005204DB">
        <w:rPr>
          <w:rFonts w:ascii="Times New Roman" w:eastAsiaTheme="minorEastAsia" w:hAnsi="Times New Roman" w:cs="Times New Roman"/>
          <w:sz w:val="23"/>
          <w:szCs w:val="23"/>
        </w:rPr>
        <w:t>result</w:t>
      </w:r>
      <w:r w:rsidRPr="005204DB">
        <w:rPr>
          <w:rFonts w:ascii="Times New Roman" w:eastAsiaTheme="minorEastAsia" w:hAnsi="Times New Roman" w:cs="Times New Roman"/>
          <w:sz w:val="23"/>
          <w:szCs w:val="23"/>
        </w:rPr>
        <w:t xml:space="preserve"> in promotions at their current employment</w:t>
      </w:r>
      <w:r w:rsidR="00443829" w:rsidRPr="005204DB">
        <w:rPr>
          <w:rFonts w:ascii="Times New Roman" w:eastAsiaTheme="minorEastAsia" w:hAnsi="Times New Roman" w:cs="Times New Roman"/>
          <w:sz w:val="23"/>
          <w:szCs w:val="23"/>
        </w:rPr>
        <w:t xml:space="preserve">. These students are also motivated by the </w:t>
      </w:r>
      <w:r w:rsidR="001B1A6E" w:rsidRPr="005204DB">
        <w:rPr>
          <w:rFonts w:ascii="Times New Roman" w:eastAsiaTheme="minorEastAsia" w:hAnsi="Times New Roman" w:cs="Times New Roman"/>
          <w:sz w:val="23"/>
          <w:szCs w:val="23"/>
        </w:rPr>
        <w:t xml:space="preserve">versatility </w:t>
      </w:r>
      <w:r w:rsidRPr="005204DB">
        <w:rPr>
          <w:rFonts w:ascii="Times New Roman" w:eastAsiaTheme="minorEastAsia" w:hAnsi="Times New Roman" w:cs="Times New Roman"/>
          <w:sz w:val="23"/>
          <w:szCs w:val="23"/>
        </w:rPr>
        <w:t xml:space="preserve">to </w:t>
      </w:r>
      <w:r w:rsidR="001B1A6E" w:rsidRPr="005204DB">
        <w:rPr>
          <w:rFonts w:ascii="Times New Roman" w:eastAsiaTheme="minorEastAsia" w:hAnsi="Times New Roman" w:cs="Times New Roman"/>
          <w:sz w:val="23"/>
          <w:szCs w:val="23"/>
        </w:rPr>
        <w:t>find more rewarding employment</w:t>
      </w:r>
      <w:r w:rsidR="00443829" w:rsidRPr="005204DB">
        <w:rPr>
          <w:rFonts w:ascii="Times New Roman" w:eastAsiaTheme="minorEastAsia" w:hAnsi="Times New Roman" w:cs="Times New Roman"/>
          <w:sz w:val="23"/>
          <w:szCs w:val="23"/>
        </w:rPr>
        <w:t xml:space="preserve"> upon receiving a credential</w:t>
      </w:r>
      <w:r w:rsidRPr="005204DB">
        <w:rPr>
          <w:rFonts w:ascii="Times New Roman" w:eastAsiaTheme="minorEastAsia" w:hAnsi="Times New Roman" w:cs="Times New Roman"/>
          <w:sz w:val="23"/>
          <w:szCs w:val="23"/>
        </w:rPr>
        <w:t>.</w:t>
      </w:r>
      <w:r w:rsidR="001B1A6E" w:rsidRPr="005204DB">
        <w:rPr>
          <w:rFonts w:ascii="Times New Roman" w:eastAsiaTheme="minorEastAsia" w:hAnsi="Times New Roman" w:cs="Times New Roman"/>
          <w:sz w:val="23"/>
          <w:szCs w:val="23"/>
        </w:rPr>
        <w:t xml:space="preserve"> Capitalizing on these characteristics has led to a</w:t>
      </w:r>
      <w:r w:rsidRPr="005204DB">
        <w:rPr>
          <w:rFonts w:ascii="Times New Roman" w:eastAsiaTheme="minorEastAsia" w:hAnsi="Times New Roman" w:cs="Times New Roman"/>
          <w:sz w:val="23"/>
          <w:szCs w:val="23"/>
        </w:rPr>
        <w:t xml:space="preserve"> </w:t>
      </w:r>
      <w:r w:rsidR="001B1A6E" w:rsidRPr="005204DB">
        <w:rPr>
          <w:rFonts w:ascii="Times New Roman" w:eastAsiaTheme="minorEastAsia" w:hAnsi="Times New Roman" w:cs="Times New Roman"/>
          <w:sz w:val="23"/>
          <w:szCs w:val="23"/>
        </w:rPr>
        <w:t>quarterly m</w:t>
      </w:r>
      <w:r w:rsidRPr="005204DB">
        <w:rPr>
          <w:rFonts w:ascii="Times New Roman" w:eastAsiaTheme="minorEastAsia" w:hAnsi="Times New Roman" w:cs="Times New Roman"/>
          <w:sz w:val="23"/>
          <w:szCs w:val="23"/>
        </w:rPr>
        <w:t>edia</w:t>
      </w:r>
      <w:r w:rsidR="001B1A6E" w:rsidRPr="005204DB">
        <w:rPr>
          <w:rFonts w:ascii="Times New Roman" w:eastAsiaTheme="minorEastAsia" w:hAnsi="Times New Roman" w:cs="Times New Roman"/>
          <w:sz w:val="23"/>
          <w:szCs w:val="23"/>
        </w:rPr>
        <w:t>n earnings value for all IELCE period</w:t>
      </w:r>
      <w:r w:rsidRPr="005204DB">
        <w:rPr>
          <w:rFonts w:ascii="Times New Roman" w:eastAsiaTheme="minorEastAsia" w:hAnsi="Times New Roman" w:cs="Times New Roman"/>
          <w:sz w:val="23"/>
          <w:szCs w:val="23"/>
        </w:rPr>
        <w:t>s</w:t>
      </w:r>
      <w:r w:rsidR="001B1A6E" w:rsidRPr="005204DB">
        <w:rPr>
          <w:rFonts w:ascii="Times New Roman" w:eastAsiaTheme="minorEastAsia" w:hAnsi="Times New Roman" w:cs="Times New Roman"/>
          <w:sz w:val="23"/>
          <w:szCs w:val="23"/>
        </w:rPr>
        <w:t xml:space="preserve"> of participation (PoPs) equaling</w:t>
      </w:r>
      <w:r w:rsidRPr="005204DB">
        <w:rPr>
          <w:rFonts w:ascii="Times New Roman" w:eastAsiaTheme="minorEastAsia" w:hAnsi="Times New Roman" w:cs="Times New Roman"/>
          <w:sz w:val="23"/>
          <w:szCs w:val="23"/>
        </w:rPr>
        <w:t xml:space="preserve"> $6,100.25, which is a promising outcome for our students.</w:t>
      </w:r>
      <w:r w:rsidR="001B1A6E" w:rsidRPr="005204DB">
        <w:rPr>
          <w:rFonts w:ascii="Times New Roman" w:eastAsiaTheme="minorEastAsia" w:hAnsi="Times New Roman" w:cs="Times New Roman"/>
          <w:sz w:val="23"/>
          <w:szCs w:val="23"/>
        </w:rPr>
        <w:t xml:space="preserve"> This is a much higher outcome than the adult basic education programs</w:t>
      </w:r>
      <w:r w:rsidR="006C35CA">
        <w:rPr>
          <w:rFonts w:ascii="Times New Roman" w:eastAsiaTheme="minorEastAsia" w:hAnsi="Times New Roman" w:cs="Times New Roman"/>
          <w:sz w:val="23"/>
          <w:szCs w:val="23"/>
        </w:rPr>
        <w:t>, which indicates</w:t>
      </w:r>
      <w:r w:rsidR="001B1A6E" w:rsidRPr="005204DB">
        <w:rPr>
          <w:rFonts w:ascii="Times New Roman" w:eastAsiaTheme="minorEastAsia" w:hAnsi="Times New Roman" w:cs="Times New Roman"/>
          <w:sz w:val="23"/>
          <w:szCs w:val="23"/>
        </w:rPr>
        <w:t xml:space="preserve"> success in integrating civics and workforce skills throughout the state.</w:t>
      </w:r>
      <w:r w:rsidR="00D5514D" w:rsidRPr="005204DB">
        <w:rPr>
          <w:rFonts w:ascii="Times New Roman" w:eastAsiaTheme="minorEastAsia" w:hAnsi="Times New Roman" w:cs="Times New Roman"/>
          <w:sz w:val="23"/>
          <w:szCs w:val="23"/>
        </w:rPr>
        <w:t xml:space="preserve"> </w:t>
      </w:r>
      <w:r w:rsidR="00144E49" w:rsidRPr="005204DB">
        <w:rPr>
          <w:rFonts w:ascii="Times New Roman" w:eastAsiaTheme="minorEastAsia" w:hAnsi="Times New Roman" w:cs="Times New Roman"/>
          <w:sz w:val="23"/>
          <w:szCs w:val="23"/>
        </w:rPr>
        <w:t xml:space="preserve">Of the </w:t>
      </w:r>
      <w:r w:rsidRPr="005204DB">
        <w:rPr>
          <w:rFonts w:ascii="Times New Roman" w:eastAsiaTheme="minorEastAsia" w:hAnsi="Times New Roman" w:cs="Times New Roman"/>
          <w:sz w:val="23"/>
          <w:szCs w:val="23"/>
        </w:rPr>
        <w:t>403 students served (12+ hours and pr</w:t>
      </w:r>
      <w:r w:rsidR="00144E49" w:rsidRPr="005204DB">
        <w:rPr>
          <w:rFonts w:ascii="Times New Roman" w:eastAsiaTheme="minorEastAsia" w:hAnsi="Times New Roman" w:cs="Times New Roman"/>
          <w:sz w:val="23"/>
          <w:szCs w:val="23"/>
        </w:rPr>
        <w:t xml:space="preserve">e-tested) in FY20, 342 </w:t>
      </w:r>
      <w:r w:rsidRPr="005204DB">
        <w:rPr>
          <w:rFonts w:ascii="Times New Roman" w:eastAsiaTheme="minorEastAsia" w:hAnsi="Times New Roman" w:cs="Times New Roman"/>
          <w:sz w:val="23"/>
          <w:szCs w:val="23"/>
        </w:rPr>
        <w:t xml:space="preserve">(84.9%) </w:t>
      </w:r>
      <w:r w:rsidR="00144E49" w:rsidRPr="005204DB">
        <w:rPr>
          <w:rFonts w:ascii="Times New Roman" w:eastAsiaTheme="minorEastAsia" w:hAnsi="Times New Roman" w:cs="Times New Roman"/>
          <w:sz w:val="23"/>
          <w:szCs w:val="23"/>
        </w:rPr>
        <w:t>received a post-test</w:t>
      </w:r>
      <w:r w:rsidRPr="005204DB">
        <w:rPr>
          <w:rFonts w:ascii="Times New Roman" w:eastAsiaTheme="minorEastAsia" w:hAnsi="Times New Roman" w:cs="Times New Roman"/>
          <w:sz w:val="23"/>
          <w:szCs w:val="23"/>
        </w:rPr>
        <w:t xml:space="preserve">. </w:t>
      </w:r>
      <w:r w:rsidR="00E1589C">
        <w:rPr>
          <w:rFonts w:ascii="Times New Roman" w:eastAsiaTheme="minorEastAsia" w:hAnsi="Times New Roman" w:cs="Times New Roman"/>
          <w:sz w:val="23"/>
          <w:szCs w:val="23"/>
        </w:rPr>
        <w:t>Academic gain was attained:  A</w:t>
      </w:r>
      <w:r w:rsidRPr="005204DB">
        <w:rPr>
          <w:rFonts w:ascii="Times New Roman" w:eastAsiaTheme="minorEastAsia" w:hAnsi="Times New Roman" w:cs="Times New Roman"/>
          <w:sz w:val="23"/>
          <w:szCs w:val="23"/>
        </w:rPr>
        <w:t>ll PoPs: 311 students (77.2%), PoP 1: 311 (77.2%).</w:t>
      </w:r>
    </w:p>
    <w:p w:rsidR="00F61FB3" w:rsidRPr="005204DB" w:rsidRDefault="00F61FB3" w:rsidP="000B6FB9">
      <w:pPr>
        <w:tabs>
          <w:tab w:val="left" w:pos="360"/>
        </w:tabs>
        <w:spacing w:after="0" w:line="240" w:lineRule="auto"/>
        <w:rPr>
          <w:rFonts w:ascii="Times New Roman" w:eastAsiaTheme="minorEastAsia" w:hAnsi="Times New Roman" w:cs="Times New Roman"/>
          <w:i/>
          <w:color w:val="000000" w:themeColor="text1"/>
          <w:sz w:val="23"/>
          <w:szCs w:val="23"/>
        </w:rPr>
      </w:pPr>
    </w:p>
    <w:p w:rsidR="00F553BB" w:rsidRPr="005204DB" w:rsidRDefault="006A5196" w:rsidP="000B6FB9">
      <w:pPr>
        <w:pStyle w:val="ListParagraph"/>
        <w:numPr>
          <w:ilvl w:val="0"/>
          <w:numId w:val="12"/>
        </w:numPr>
        <w:spacing w:after="0" w:line="240" w:lineRule="auto"/>
        <w:rPr>
          <w:rFonts w:ascii="Times New Roman" w:eastAsiaTheme="minorEastAsia" w:hAnsi="Times New Roman" w:cs="Times New Roman"/>
          <w:i/>
          <w:color w:val="000000" w:themeColor="text1"/>
          <w:sz w:val="23"/>
          <w:szCs w:val="23"/>
        </w:rPr>
      </w:pPr>
      <w:r w:rsidRPr="005204DB">
        <w:rPr>
          <w:rFonts w:ascii="Times New Roman" w:eastAsiaTheme="minorEastAsia" w:hAnsi="Times New Roman" w:cs="Times New Roman"/>
          <w:i/>
          <w:color w:val="000000" w:themeColor="text1"/>
          <w:sz w:val="23"/>
          <w:szCs w:val="23"/>
        </w:rPr>
        <w:t xml:space="preserve">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 </w:t>
      </w:r>
    </w:p>
    <w:p w:rsidR="00F553BB" w:rsidRPr="005204DB" w:rsidRDefault="00F61FB3" w:rsidP="000B6FB9">
      <w:pPr>
        <w:pStyle w:val="ListParagraph"/>
        <w:spacing w:after="0" w:line="240" w:lineRule="auto"/>
        <w:ind w:left="0"/>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All three of our IELCE programs work closely with the workforce development system</w:t>
      </w:r>
      <w:r w:rsidR="004619AC" w:rsidRPr="005204DB">
        <w:rPr>
          <w:rFonts w:ascii="Times New Roman" w:eastAsiaTheme="minorEastAsia" w:hAnsi="Times New Roman" w:cs="Times New Roman"/>
          <w:sz w:val="23"/>
          <w:szCs w:val="23"/>
        </w:rPr>
        <w:t xml:space="preserve"> including the AEL program directors’ membership on the LWDB</w:t>
      </w:r>
      <w:r w:rsidRPr="005204DB">
        <w:rPr>
          <w:rFonts w:ascii="Times New Roman" w:eastAsiaTheme="minorEastAsia" w:hAnsi="Times New Roman" w:cs="Times New Roman"/>
          <w:sz w:val="23"/>
          <w:szCs w:val="23"/>
        </w:rPr>
        <w:t xml:space="preserve"> in their area </w:t>
      </w:r>
      <w:r w:rsidR="004619AC" w:rsidRPr="005204DB">
        <w:rPr>
          <w:rFonts w:ascii="Times New Roman" w:eastAsiaTheme="minorEastAsia" w:hAnsi="Times New Roman" w:cs="Times New Roman"/>
          <w:sz w:val="23"/>
          <w:szCs w:val="23"/>
        </w:rPr>
        <w:t>and partnership</w:t>
      </w:r>
      <w:r w:rsidRPr="005204DB">
        <w:rPr>
          <w:rFonts w:ascii="Times New Roman" w:eastAsiaTheme="minorEastAsia" w:hAnsi="Times New Roman" w:cs="Times New Roman"/>
          <w:sz w:val="23"/>
          <w:szCs w:val="23"/>
        </w:rPr>
        <w:t xml:space="preserve"> with the local job center</w:t>
      </w:r>
      <w:r w:rsidR="004619AC" w:rsidRPr="005204DB">
        <w:rPr>
          <w:rFonts w:ascii="Times New Roman" w:eastAsiaTheme="minorEastAsia" w:hAnsi="Times New Roman" w:cs="Times New Roman"/>
          <w:sz w:val="23"/>
          <w:szCs w:val="23"/>
        </w:rPr>
        <w:t>s</w:t>
      </w:r>
      <w:r w:rsidRPr="005204DB">
        <w:rPr>
          <w:rFonts w:ascii="Times New Roman" w:eastAsiaTheme="minorEastAsia" w:hAnsi="Times New Roman" w:cs="Times New Roman"/>
          <w:sz w:val="23"/>
          <w:szCs w:val="23"/>
        </w:rPr>
        <w:t xml:space="preserve">. AEL staff attend </w:t>
      </w:r>
      <w:r w:rsidR="004619AC" w:rsidRPr="005204DB">
        <w:rPr>
          <w:rFonts w:ascii="Times New Roman" w:eastAsiaTheme="minorEastAsia" w:hAnsi="Times New Roman" w:cs="Times New Roman"/>
          <w:sz w:val="23"/>
          <w:szCs w:val="23"/>
        </w:rPr>
        <w:t>LWDB</w:t>
      </w:r>
      <w:r w:rsidRPr="005204DB">
        <w:rPr>
          <w:rFonts w:ascii="Times New Roman" w:eastAsiaTheme="minorEastAsia" w:hAnsi="Times New Roman" w:cs="Times New Roman"/>
          <w:sz w:val="23"/>
          <w:szCs w:val="23"/>
        </w:rPr>
        <w:t xml:space="preserve"> meetings and constantly </w:t>
      </w:r>
      <w:r w:rsidR="004619AC" w:rsidRPr="005204DB">
        <w:rPr>
          <w:rFonts w:ascii="Times New Roman" w:eastAsiaTheme="minorEastAsia" w:hAnsi="Times New Roman" w:cs="Times New Roman"/>
          <w:sz w:val="23"/>
          <w:szCs w:val="23"/>
        </w:rPr>
        <w:t>cross-</w:t>
      </w:r>
      <w:r w:rsidRPr="005204DB">
        <w:rPr>
          <w:rFonts w:ascii="Times New Roman" w:eastAsiaTheme="minorEastAsia" w:hAnsi="Times New Roman" w:cs="Times New Roman"/>
          <w:sz w:val="23"/>
          <w:szCs w:val="23"/>
        </w:rPr>
        <w:t>promote IET</w:t>
      </w:r>
      <w:r w:rsidR="004619AC" w:rsidRPr="005204DB">
        <w:rPr>
          <w:rFonts w:ascii="Times New Roman" w:eastAsiaTheme="minorEastAsia" w:hAnsi="Times New Roman" w:cs="Times New Roman"/>
          <w:sz w:val="23"/>
          <w:szCs w:val="23"/>
        </w:rPr>
        <w:t xml:space="preserve"> programming.  Staff are on sub-</w:t>
      </w:r>
      <w:r w:rsidRPr="005204DB">
        <w:rPr>
          <w:rFonts w:ascii="Times New Roman" w:eastAsiaTheme="minorEastAsia" w:hAnsi="Times New Roman" w:cs="Times New Roman"/>
          <w:sz w:val="23"/>
          <w:szCs w:val="23"/>
        </w:rPr>
        <w:t xml:space="preserve">committees of the </w:t>
      </w:r>
      <w:r w:rsidR="004619AC" w:rsidRPr="005204DB">
        <w:rPr>
          <w:rFonts w:ascii="Times New Roman" w:eastAsiaTheme="minorEastAsia" w:hAnsi="Times New Roman" w:cs="Times New Roman"/>
          <w:sz w:val="23"/>
          <w:szCs w:val="23"/>
        </w:rPr>
        <w:t>LWDBs that focus on things such as workplace soft skills and students with disabilities.</w:t>
      </w:r>
    </w:p>
    <w:p w:rsidR="00F553BB" w:rsidRPr="005204DB" w:rsidRDefault="00F553BB" w:rsidP="000B6FB9">
      <w:pPr>
        <w:pStyle w:val="ListParagraph"/>
        <w:spacing w:after="0" w:line="240" w:lineRule="auto"/>
        <w:ind w:left="0"/>
        <w:rPr>
          <w:rFonts w:ascii="Times New Roman" w:eastAsiaTheme="minorEastAsia" w:hAnsi="Times New Roman" w:cs="Times New Roman"/>
          <w:sz w:val="23"/>
          <w:szCs w:val="23"/>
        </w:rPr>
      </w:pPr>
    </w:p>
    <w:p w:rsidR="00C0326A" w:rsidRPr="005204DB" w:rsidRDefault="00F61FB3" w:rsidP="000B6FB9">
      <w:pPr>
        <w:pStyle w:val="ListParagraph"/>
        <w:spacing w:after="0" w:line="240" w:lineRule="auto"/>
        <w:ind w:left="0"/>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 xml:space="preserve">One of the biggest challenges </w:t>
      </w:r>
      <w:r w:rsidR="004619AC" w:rsidRPr="005204DB">
        <w:rPr>
          <w:rFonts w:ascii="Times New Roman" w:eastAsiaTheme="minorEastAsia" w:hAnsi="Times New Roman" w:cs="Times New Roman"/>
          <w:sz w:val="23"/>
          <w:szCs w:val="23"/>
        </w:rPr>
        <w:t>for DESE</w:t>
      </w:r>
      <w:r w:rsidRPr="005204DB">
        <w:rPr>
          <w:rFonts w:ascii="Times New Roman" w:eastAsiaTheme="minorEastAsia" w:hAnsi="Times New Roman" w:cs="Times New Roman"/>
          <w:sz w:val="23"/>
          <w:szCs w:val="23"/>
        </w:rPr>
        <w:t xml:space="preserve"> AEL </w:t>
      </w:r>
      <w:r w:rsidR="004619AC" w:rsidRPr="005204DB">
        <w:rPr>
          <w:rFonts w:ascii="Times New Roman" w:eastAsiaTheme="minorEastAsia" w:hAnsi="Times New Roman" w:cs="Times New Roman"/>
          <w:sz w:val="23"/>
          <w:szCs w:val="23"/>
        </w:rPr>
        <w:t>is recognition with</w:t>
      </w:r>
      <w:r w:rsidRPr="005204DB">
        <w:rPr>
          <w:rFonts w:ascii="Times New Roman" w:eastAsiaTheme="minorEastAsia" w:hAnsi="Times New Roman" w:cs="Times New Roman"/>
          <w:sz w:val="23"/>
          <w:szCs w:val="23"/>
        </w:rPr>
        <w:t>in the business sector.  Most privately held companies and employers do not realize the enormous impact that AEL instruction can have on an employee, a parent, a community and a company.  Breaking the AEL stereotype is a huge barrier.   Rewriting the narrative of what adult education is, what it can offer and how it is a major resource waiting to be tapped, is a general challenge acr</w:t>
      </w:r>
      <w:r w:rsidR="00F553BB" w:rsidRPr="005204DB">
        <w:rPr>
          <w:rFonts w:ascii="Times New Roman" w:eastAsiaTheme="minorEastAsia" w:hAnsi="Times New Roman" w:cs="Times New Roman"/>
          <w:sz w:val="23"/>
          <w:szCs w:val="23"/>
        </w:rPr>
        <w:t xml:space="preserve">oss all areas of WIOA mandates. </w:t>
      </w:r>
      <w:r w:rsidR="004619AC" w:rsidRPr="005204DB">
        <w:rPr>
          <w:rFonts w:ascii="Times New Roman" w:eastAsiaTheme="minorEastAsia" w:hAnsi="Times New Roman" w:cs="Times New Roman"/>
          <w:sz w:val="23"/>
          <w:szCs w:val="23"/>
        </w:rPr>
        <w:t>DESE AEL</w:t>
      </w:r>
      <w:r w:rsidR="00F553BB" w:rsidRPr="005204DB">
        <w:rPr>
          <w:rFonts w:ascii="Times New Roman" w:eastAsiaTheme="minorEastAsia" w:hAnsi="Times New Roman" w:cs="Times New Roman"/>
          <w:sz w:val="23"/>
          <w:szCs w:val="23"/>
        </w:rPr>
        <w:t xml:space="preserve"> staff participate in the WIOA Employer Engagement committee to advance relationships with Missouri employers that will benefit our students</w:t>
      </w:r>
      <w:r w:rsidR="004619AC" w:rsidRPr="005204DB">
        <w:rPr>
          <w:rFonts w:ascii="Times New Roman" w:eastAsiaTheme="minorEastAsia" w:hAnsi="Times New Roman" w:cs="Times New Roman"/>
          <w:sz w:val="23"/>
          <w:szCs w:val="23"/>
        </w:rPr>
        <w:t xml:space="preserve"> and rely on partnerships with LWDBs to connect with employers.</w:t>
      </w:r>
      <w:r w:rsidR="000B6FB9" w:rsidRPr="005204DB">
        <w:rPr>
          <w:rFonts w:ascii="Times New Roman" w:eastAsiaTheme="minorEastAsia" w:hAnsi="Times New Roman" w:cs="Times New Roman"/>
          <w:sz w:val="23"/>
          <w:szCs w:val="23"/>
        </w:rPr>
        <w:br/>
      </w:r>
    </w:p>
    <w:p w:rsidR="006A5196" w:rsidRPr="005204DB" w:rsidRDefault="006A5196" w:rsidP="000B6FB9">
      <w:pPr>
        <w:pStyle w:val="ListParagraph"/>
        <w:numPr>
          <w:ilvl w:val="0"/>
          <w:numId w:val="1"/>
        </w:numPr>
        <w:spacing w:line="240" w:lineRule="auto"/>
        <w:rPr>
          <w:rFonts w:ascii="Times New Roman" w:hAnsi="Times New Roman" w:cs="Times New Roman"/>
          <w:b/>
          <w:sz w:val="23"/>
          <w:szCs w:val="23"/>
          <w:u w:val="single"/>
        </w:rPr>
      </w:pPr>
      <w:r w:rsidRPr="005204DB">
        <w:rPr>
          <w:rFonts w:ascii="Times New Roman" w:hAnsi="Times New Roman" w:cs="Times New Roman"/>
          <w:b/>
          <w:sz w:val="23"/>
          <w:szCs w:val="23"/>
          <w:u w:val="single"/>
        </w:rPr>
        <w:t>Adult Education Standards</w:t>
      </w:r>
    </w:p>
    <w:p w:rsidR="002A1FE5" w:rsidRPr="005204DB" w:rsidRDefault="00713843" w:rsidP="000B6FB9">
      <w:pPr>
        <w:pStyle w:val="ListParagraph"/>
        <w:spacing w:line="240" w:lineRule="auto"/>
        <w:ind w:left="360"/>
        <w:rPr>
          <w:rFonts w:ascii="Times New Roman" w:eastAsiaTheme="minorEastAsia" w:hAnsi="Times New Roman" w:cs="Times New Roman"/>
          <w:b/>
          <w:i/>
          <w:color w:val="000000" w:themeColor="text1"/>
          <w:sz w:val="23"/>
          <w:szCs w:val="23"/>
        </w:rPr>
      </w:pPr>
      <w:r w:rsidRPr="005204DB">
        <w:rPr>
          <w:rFonts w:ascii="Times New Roman" w:eastAsiaTheme="minorEastAsia" w:hAnsi="Times New Roman" w:cs="Times New Roman"/>
          <w:b/>
          <w:i/>
          <w:color w:val="000000" w:themeColor="text1"/>
          <w:sz w:val="23"/>
          <w:szCs w:val="23"/>
        </w:rPr>
        <w:t xml:space="preserve">If your State has adopted new challenging K-12 standards under title I of the Elementary and Secondary Education Act of 1965, as amended, describe how your Adult Education content standards are aligned with those K-12 standards. </w:t>
      </w:r>
    </w:p>
    <w:p w:rsidR="006778E9" w:rsidRPr="005204DB" w:rsidRDefault="00713843" w:rsidP="000B6FB9">
      <w:pPr>
        <w:pStyle w:val="ListParagraph"/>
        <w:spacing w:line="240" w:lineRule="auto"/>
        <w:ind w:left="360"/>
        <w:rPr>
          <w:rFonts w:ascii="Times New Roman" w:eastAsiaTheme="minorEastAsia" w:hAnsi="Times New Roman" w:cs="Times New Roman"/>
          <w:b/>
          <w:i/>
          <w:color w:val="000000" w:themeColor="text1"/>
          <w:sz w:val="23"/>
          <w:szCs w:val="23"/>
        </w:rPr>
      </w:pPr>
      <w:r w:rsidRPr="005204DB">
        <w:rPr>
          <w:rFonts w:ascii="Times New Roman" w:eastAsiaTheme="minorEastAsia" w:hAnsi="Times New Roman" w:cs="Times New Roman"/>
          <w:b/>
          <w:i/>
          <w:color w:val="000000" w:themeColor="text1"/>
          <w:sz w:val="23"/>
          <w:szCs w:val="23"/>
        </w:rPr>
        <w:t xml:space="preserve">Optional – Describe implementation efforts, challenges, and any lessons learned. </w:t>
      </w:r>
    </w:p>
    <w:p w:rsidR="001F3B97" w:rsidRPr="005204DB" w:rsidRDefault="00B163FC" w:rsidP="000B6FB9">
      <w:pPr>
        <w:pStyle w:val="ListParagraph"/>
        <w:spacing w:line="240" w:lineRule="auto"/>
        <w:ind w:left="0"/>
        <w:rPr>
          <w:rFonts w:ascii="Times New Roman" w:eastAsiaTheme="minorEastAsia" w:hAnsi="Times New Roman" w:cs="Times New Roman"/>
          <w:b/>
          <w:i/>
          <w:color w:val="000000" w:themeColor="text1"/>
          <w:sz w:val="23"/>
          <w:szCs w:val="23"/>
        </w:rPr>
      </w:pPr>
      <w:r w:rsidRPr="005204DB">
        <w:rPr>
          <w:rFonts w:ascii="Times New Roman" w:eastAsiaTheme="minorEastAsia" w:hAnsi="Times New Roman" w:cs="Times New Roman"/>
          <w:sz w:val="23"/>
          <w:szCs w:val="23"/>
        </w:rPr>
        <w:t>Missouri’s Department of Elementary an</w:t>
      </w:r>
      <w:r w:rsidR="00127108" w:rsidRPr="005204DB">
        <w:rPr>
          <w:rFonts w:ascii="Times New Roman" w:eastAsiaTheme="minorEastAsia" w:hAnsi="Times New Roman" w:cs="Times New Roman"/>
          <w:sz w:val="23"/>
          <w:szCs w:val="23"/>
        </w:rPr>
        <w:t xml:space="preserve">d Secondary Education’s </w:t>
      </w:r>
      <w:r w:rsidR="00D37232" w:rsidRPr="005204DB">
        <w:rPr>
          <w:rFonts w:ascii="Times New Roman" w:eastAsiaTheme="minorEastAsia" w:hAnsi="Times New Roman" w:cs="Times New Roman"/>
          <w:sz w:val="23"/>
          <w:szCs w:val="23"/>
        </w:rPr>
        <w:t xml:space="preserve">goal </w:t>
      </w:r>
      <w:r w:rsidRPr="005204DB">
        <w:rPr>
          <w:rFonts w:ascii="Times New Roman" w:eastAsiaTheme="minorEastAsia" w:hAnsi="Times New Roman" w:cs="Times New Roman"/>
          <w:sz w:val="23"/>
          <w:szCs w:val="23"/>
        </w:rPr>
        <w:t xml:space="preserve">is that all Missouri students will graduate ready for </w:t>
      </w:r>
      <w:r w:rsidR="00D37232" w:rsidRPr="005204DB">
        <w:rPr>
          <w:rFonts w:ascii="Times New Roman" w:eastAsiaTheme="minorEastAsia" w:hAnsi="Times New Roman" w:cs="Times New Roman"/>
          <w:sz w:val="23"/>
          <w:szCs w:val="23"/>
        </w:rPr>
        <w:t xml:space="preserve">success. </w:t>
      </w:r>
      <w:r w:rsidRPr="005204DB">
        <w:rPr>
          <w:rFonts w:ascii="Times New Roman" w:eastAsiaTheme="minorEastAsia" w:hAnsi="Times New Roman" w:cs="Times New Roman"/>
          <w:sz w:val="23"/>
          <w:szCs w:val="23"/>
        </w:rPr>
        <w:t>The K-12 Missouri Learning Standards define the knowledge and skills students need in each grade level and course for success in college, other post-secondary training and careers. The standards ensure that students learn basic and higher-order skills including problem solving and critical thinking. These standards are relevant to the real world and reflect the knowledge and skills student</w:t>
      </w:r>
      <w:r w:rsidR="00FB7EB7">
        <w:rPr>
          <w:rFonts w:ascii="Times New Roman" w:eastAsiaTheme="minorEastAsia" w:hAnsi="Times New Roman" w:cs="Times New Roman"/>
          <w:sz w:val="23"/>
          <w:szCs w:val="23"/>
        </w:rPr>
        <w:t>s need to achieve their goals. While t</w:t>
      </w:r>
      <w:r w:rsidRPr="005204DB">
        <w:rPr>
          <w:rFonts w:ascii="Times New Roman" w:eastAsiaTheme="minorEastAsia" w:hAnsi="Times New Roman" w:cs="Times New Roman"/>
          <w:sz w:val="23"/>
          <w:szCs w:val="23"/>
        </w:rPr>
        <w:t>he standards do not dictate the curriculum</w:t>
      </w:r>
      <w:r w:rsidR="00FB7EB7">
        <w:rPr>
          <w:rFonts w:ascii="Times New Roman" w:eastAsiaTheme="minorEastAsia" w:hAnsi="Times New Roman" w:cs="Times New Roman"/>
          <w:sz w:val="23"/>
          <w:szCs w:val="23"/>
        </w:rPr>
        <w:t>, programs are strongly encouraged to adopt curriculum that closely aligns with the standards. However, l</w:t>
      </w:r>
      <w:r w:rsidRPr="005204DB">
        <w:rPr>
          <w:rFonts w:ascii="Times New Roman" w:eastAsiaTheme="minorEastAsia" w:hAnsi="Times New Roman" w:cs="Times New Roman"/>
          <w:sz w:val="23"/>
          <w:szCs w:val="23"/>
        </w:rPr>
        <w:t>ocal districts and schools make their own decisions abo</w:t>
      </w:r>
      <w:r w:rsidR="009310C8" w:rsidRPr="005204DB">
        <w:rPr>
          <w:rFonts w:ascii="Times New Roman" w:eastAsiaTheme="minorEastAsia" w:hAnsi="Times New Roman" w:cs="Times New Roman"/>
          <w:sz w:val="23"/>
          <w:szCs w:val="23"/>
        </w:rPr>
        <w:t>ut curr</w:t>
      </w:r>
      <w:r w:rsidR="003E0E29" w:rsidRPr="005204DB">
        <w:rPr>
          <w:rFonts w:ascii="Times New Roman" w:eastAsiaTheme="minorEastAsia" w:hAnsi="Times New Roman" w:cs="Times New Roman"/>
          <w:sz w:val="23"/>
          <w:szCs w:val="23"/>
        </w:rPr>
        <w:t>iculum, instructional materials</w:t>
      </w:r>
      <w:r w:rsidR="009310C8" w:rsidRPr="005204DB">
        <w:rPr>
          <w:rFonts w:ascii="Times New Roman" w:eastAsiaTheme="minorEastAsia" w:hAnsi="Times New Roman" w:cs="Times New Roman"/>
          <w:sz w:val="23"/>
          <w:szCs w:val="23"/>
        </w:rPr>
        <w:t xml:space="preserve"> and teaching strategies</w:t>
      </w:r>
      <w:r w:rsidRPr="005204DB">
        <w:rPr>
          <w:rFonts w:ascii="Times New Roman" w:eastAsiaTheme="minorEastAsia" w:hAnsi="Times New Roman" w:cs="Times New Roman"/>
          <w:sz w:val="23"/>
          <w:szCs w:val="23"/>
        </w:rPr>
        <w:t xml:space="preserve">. </w:t>
      </w:r>
    </w:p>
    <w:p w:rsidR="001F3B97" w:rsidRPr="005204DB" w:rsidRDefault="00B163FC" w:rsidP="000B6FB9">
      <w:pPr>
        <w:spacing w:after="0" w:line="240" w:lineRule="auto"/>
        <w:rPr>
          <w:rFonts w:ascii="Times New Roman" w:hAnsi="Times New Roman" w:cs="Times New Roman"/>
          <w:sz w:val="23"/>
          <w:szCs w:val="23"/>
        </w:rPr>
      </w:pPr>
      <w:r w:rsidRPr="005204DB">
        <w:rPr>
          <w:rFonts w:ascii="Times New Roman" w:hAnsi="Times New Roman" w:cs="Times New Roman"/>
          <w:sz w:val="23"/>
          <w:szCs w:val="23"/>
        </w:rPr>
        <w:t xml:space="preserve">The Missouri Adult Education Standards align closely with the K-12 Standards. The intent of the Missouri Adult Education Standards, much like that of the K-12 standards, is to provide a framework within which programs can develop curriculum needed to prepare students to achieve their goals.  These goals could include </w:t>
      </w:r>
      <w:r w:rsidR="003E0E29" w:rsidRPr="005204DB">
        <w:rPr>
          <w:rFonts w:ascii="Times New Roman" w:hAnsi="Times New Roman" w:cs="Times New Roman"/>
          <w:sz w:val="23"/>
          <w:szCs w:val="23"/>
        </w:rPr>
        <w:t>things such</w:t>
      </w:r>
      <w:r w:rsidRPr="005204DB">
        <w:rPr>
          <w:rFonts w:ascii="Times New Roman" w:hAnsi="Times New Roman" w:cs="Times New Roman"/>
          <w:sz w:val="23"/>
          <w:szCs w:val="23"/>
        </w:rPr>
        <w:t xml:space="preserve"> as obtaining employment, enrollment in post-secondary options, and/or developing the language and life skills needed to be a part of the culture of the United States. Missouri’s Adult Education Standards offer guidance in academic areas such as: applied math, reading comprehension, communication (verbal, written, and listening), critical thinking and problem solving, technology and gathering/evaluating information. Additionally, support is given to work readiness skills such as career development and planning, professional behavior, accountability, interpersonal skills, and self-management.</w:t>
      </w:r>
    </w:p>
    <w:p w:rsidR="00B163FC" w:rsidRPr="005204DB" w:rsidRDefault="00B163FC" w:rsidP="000B6FB9">
      <w:pPr>
        <w:spacing w:after="0" w:line="240" w:lineRule="auto"/>
        <w:rPr>
          <w:rFonts w:ascii="Times New Roman" w:hAnsi="Times New Roman" w:cs="Times New Roman"/>
          <w:sz w:val="23"/>
          <w:szCs w:val="23"/>
        </w:rPr>
      </w:pPr>
      <w:r w:rsidRPr="005204DB">
        <w:rPr>
          <w:rFonts w:ascii="Times New Roman" w:hAnsi="Times New Roman" w:cs="Times New Roman"/>
          <w:sz w:val="23"/>
          <w:szCs w:val="23"/>
        </w:rPr>
        <w:t xml:space="preserve"> </w:t>
      </w:r>
    </w:p>
    <w:p w:rsidR="00C47E1E" w:rsidRPr="005204DB" w:rsidRDefault="00C47E1E" w:rsidP="000B6FB9">
      <w:pPr>
        <w:spacing w:line="240" w:lineRule="auto"/>
        <w:rPr>
          <w:rFonts w:ascii="Times New Roman" w:hAnsi="Times New Roman" w:cs="Times New Roman"/>
          <w:sz w:val="23"/>
          <w:szCs w:val="23"/>
        </w:rPr>
      </w:pPr>
      <w:r w:rsidRPr="005204DB">
        <w:rPr>
          <w:rFonts w:ascii="Times New Roman" w:hAnsi="Times New Roman" w:cs="Times New Roman"/>
          <w:sz w:val="23"/>
          <w:szCs w:val="23"/>
        </w:rPr>
        <w:t xml:space="preserve">All new AEL teachers must attend </w:t>
      </w:r>
      <w:r w:rsidR="002A69B7" w:rsidRPr="005204DB">
        <w:rPr>
          <w:rFonts w:ascii="Times New Roman" w:hAnsi="Times New Roman" w:cs="Times New Roman"/>
          <w:sz w:val="23"/>
          <w:szCs w:val="23"/>
        </w:rPr>
        <w:t>DESE AEL</w:t>
      </w:r>
      <w:r w:rsidRPr="005204DB">
        <w:rPr>
          <w:rFonts w:ascii="Times New Roman" w:hAnsi="Times New Roman" w:cs="Times New Roman"/>
          <w:sz w:val="23"/>
          <w:szCs w:val="23"/>
        </w:rPr>
        <w:t>’s College and Career Readiness workshop within one year of hire date. In addition, by the end of June, 2020, all of our teachers must have attended the DESE College and Care</w:t>
      </w:r>
      <w:r w:rsidR="003E0E29" w:rsidRPr="005204DB">
        <w:rPr>
          <w:rFonts w:ascii="Times New Roman" w:hAnsi="Times New Roman" w:cs="Times New Roman"/>
          <w:sz w:val="23"/>
          <w:szCs w:val="23"/>
        </w:rPr>
        <w:t>er Readiness Standards Workshop</w:t>
      </w:r>
      <w:r w:rsidRPr="005204DB">
        <w:rPr>
          <w:rFonts w:ascii="Times New Roman" w:hAnsi="Times New Roman" w:cs="Times New Roman"/>
          <w:sz w:val="23"/>
          <w:szCs w:val="23"/>
        </w:rPr>
        <w:t xml:space="preserve"> and Missouri’s AEL teachers must incorporate these standards in their classroom lessons. </w:t>
      </w:r>
    </w:p>
    <w:p w:rsidR="006A5196" w:rsidRPr="005204DB" w:rsidRDefault="00155CB6" w:rsidP="000B6FB9">
      <w:pPr>
        <w:spacing w:line="240" w:lineRule="auto"/>
        <w:rPr>
          <w:rFonts w:ascii="Times New Roman" w:hAnsi="Times New Roman" w:cs="Times New Roman"/>
          <w:sz w:val="23"/>
          <w:szCs w:val="23"/>
        </w:rPr>
      </w:pPr>
      <w:r w:rsidRPr="005204DB">
        <w:rPr>
          <w:rFonts w:ascii="Times New Roman" w:hAnsi="Times New Roman" w:cs="Times New Roman"/>
          <w:sz w:val="23"/>
          <w:szCs w:val="23"/>
        </w:rPr>
        <w:t>One</w:t>
      </w:r>
      <w:r w:rsidR="00C107CB" w:rsidRPr="005204DB">
        <w:rPr>
          <w:rFonts w:ascii="Times New Roman" w:hAnsi="Times New Roman" w:cs="Times New Roman"/>
          <w:sz w:val="23"/>
          <w:szCs w:val="23"/>
        </w:rPr>
        <w:t xml:space="preserve"> challenge Missouri</w:t>
      </w:r>
      <w:r w:rsidR="00C745A9" w:rsidRPr="005204DB">
        <w:rPr>
          <w:rFonts w:ascii="Times New Roman" w:hAnsi="Times New Roman" w:cs="Times New Roman"/>
          <w:sz w:val="23"/>
          <w:szCs w:val="23"/>
        </w:rPr>
        <w:t xml:space="preserve"> has faced </w:t>
      </w:r>
      <w:r w:rsidR="00A243D0" w:rsidRPr="005204DB">
        <w:rPr>
          <w:rFonts w:ascii="Times New Roman" w:hAnsi="Times New Roman" w:cs="Times New Roman"/>
          <w:sz w:val="23"/>
          <w:szCs w:val="23"/>
        </w:rPr>
        <w:t>is</w:t>
      </w:r>
      <w:r w:rsidR="00C107CB" w:rsidRPr="005204DB">
        <w:rPr>
          <w:rFonts w:ascii="Times New Roman" w:hAnsi="Times New Roman" w:cs="Times New Roman"/>
          <w:sz w:val="23"/>
          <w:szCs w:val="23"/>
        </w:rPr>
        <w:t xml:space="preserve"> </w:t>
      </w:r>
      <w:r w:rsidR="00021043" w:rsidRPr="005204DB">
        <w:rPr>
          <w:rFonts w:ascii="Times New Roman" w:hAnsi="Times New Roman" w:cs="Times New Roman"/>
          <w:sz w:val="23"/>
          <w:szCs w:val="23"/>
        </w:rPr>
        <w:t xml:space="preserve">showing </w:t>
      </w:r>
      <w:r w:rsidR="00217F92" w:rsidRPr="005204DB">
        <w:rPr>
          <w:rFonts w:ascii="Times New Roman" w:hAnsi="Times New Roman" w:cs="Times New Roman"/>
          <w:sz w:val="23"/>
          <w:szCs w:val="23"/>
        </w:rPr>
        <w:t>ELL teachers that</w:t>
      </w:r>
      <w:r w:rsidR="002D40CF" w:rsidRPr="005204DB">
        <w:rPr>
          <w:rFonts w:ascii="Times New Roman" w:hAnsi="Times New Roman" w:cs="Times New Roman"/>
          <w:sz w:val="23"/>
          <w:szCs w:val="23"/>
        </w:rPr>
        <w:t xml:space="preserve"> the</w:t>
      </w:r>
      <w:r w:rsidRPr="005204DB">
        <w:rPr>
          <w:rFonts w:ascii="Times New Roman" w:hAnsi="Times New Roman" w:cs="Times New Roman"/>
          <w:sz w:val="23"/>
          <w:szCs w:val="23"/>
        </w:rPr>
        <w:t xml:space="preserve"> College and Career Readiness Standards </w:t>
      </w:r>
      <w:r w:rsidR="003E0E29" w:rsidRPr="005204DB">
        <w:rPr>
          <w:rFonts w:ascii="Times New Roman" w:hAnsi="Times New Roman" w:cs="Times New Roman"/>
          <w:sz w:val="23"/>
          <w:szCs w:val="23"/>
        </w:rPr>
        <w:t xml:space="preserve">(CCRS) </w:t>
      </w:r>
      <w:r w:rsidRPr="005204DB">
        <w:rPr>
          <w:rFonts w:ascii="Times New Roman" w:hAnsi="Times New Roman" w:cs="Times New Roman"/>
          <w:sz w:val="23"/>
          <w:szCs w:val="23"/>
        </w:rPr>
        <w:t xml:space="preserve">apply to their </w:t>
      </w:r>
      <w:r w:rsidR="00A243D0" w:rsidRPr="005204DB">
        <w:rPr>
          <w:rFonts w:ascii="Times New Roman" w:hAnsi="Times New Roman" w:cs="Times New Roman"/>
          <w:sz w:val="23"/>
          <w:szCs w:val="23"/>
        </w:rPr>
        <w:t xml:space="preserve">teaching and their </w:t>
      </w:r>
      <w:r w:rsidRPr="005204DB">
        <w:rPr>
          <w:rFonts w:ascii="Times New Roman" w:hAnsi="Times New Roman" w:cs="Times New Roman"/>
          <w:sz w:val="23"/>
          <w:szCs w:val="23"/>
        </w:rPr>
        <w:t>students.  To remedy this situation, DESE</w:t>
      </w:r>
      <w:r w:rsidR="00C23883">
        <w:rPr>
          <w:rFonts w:ascii="Times New Roman" w:hAnsi="Times New Roman" w:cs="Times New Roman"/>
          <w:sz w:val="23"/>
          <w:szCs w:val="23"/>
        </w:rPr>
        <w:t xml:space="preserve"> </w:t>
      </w:r>
      <w:r w:rsidR="005337E7" w:rsidRPr="005204DB">
        <w:rPr>
          <w:rFonts w:ascii="Times New Roman" w:hAnsi="Times New Roman" w:cs="Times New Roman"/>
          <w:sz w:val="23"/>
          <w:szCs w:val="23"/>
        </w:rPr>
        <w:t>AEL has revised its</w:t>
      </w:r>
      <w:r w:rsidR="00612165" w:rsidRPr="005204DB">
        <w:rPr>
          <w:rFonts w:ascii="Times New Roman" w:hAnsi="Times New Roman" w:cs="Times New Roman"/>
          <w:sz w:val="23"/>
          <w:szCs w:val="23"/>
        </w:rPr>
        <w:t xml:space="preserve"> CCRS workshop</w:t>
      </w:r>
      <w:r w:rsidR="00C745A9" w:rsidRPr="005204DB">
        <w:rPr>
          <w:rFonts w:ascii="Times New Roman" w:hAnsi="Times New Roman" w:cs="Times New Roman"/>
          <w:sz w:val="23"/>
          <w:szCs w:val="23"/>
        </w:rPr>
        <w:t xml:space="preserve"> to include </w:t>
      </w:r>
      <w:r w:rsidR="00934DC9" w:rsidRPr="005204DB">
        <w:rPr>
          <w:rFonts w:ascii="Times New Roman" w:hAnsi="Times New Roman" w:cs="Times New Roman"/>
          <w:sz w:val="23"/>
          <w:szCs w:val="23"/>
        </w:rPr>
        <w:t>specific inform</w:t>
      </w:r>
      <w:r w:rsidR="005337E7" w:rsidRPr="005204DB">
        <w:rPr>
          <w:rFonts w:ascii="Times New Roman" w:hAnsi="Times New Roman" w:cs="Times New Roman"/>
          <w:sz w:val="23"/>
          <w:szCs w:val="23"/>
        </w:rPr>
        <w:t>ation and hands-on activities that</w:t>
      </w:r>
      <w:r w:rsidR="00934DC9" w:rsidRPr="005204DB">
        <w:rPr>
          <w:rFonts w:ascii="Times New Roman" w:hAnsi="Times New Roman" w:cs="Times New Roman"/>
          <w:sz w:val="23"/>
          <w:szCs w:val="23"/>
        </w:rPr>
        <w:t xml:space="preserve"> show the ELL teachers how</w:t>
      </w:r>
      <w:r w:rsidR="00891D7C" w:rsidRPr="005204DB">
        <w:rPr>
          <w:rFonts w:ascii="Times New Roman" w:hAnsi="Times New Roman" w:cs="Times New Roman"/>
          <w:sz w:val="23"/>
          <w:szCs w:val="23"/>
        </w:rPr>
        <w:t xml:space="preserve"> the CCRS</w:t>
      </w:r>
      <w:r w:rsidR="00934DC9" w:rsidRPr="005204DB">
        <w:rPr>
          <w:rFonts w:ascii="Times New Roman" w:hAnsi="Times New Roman" w:cs="Times New Roman"/>
          <w:sz w:val="23"/>
          <w:szCs w:val="23"/>
        </w:rPr>
        <w:t xml:space="preserve"> applies to them</w:t>
      </w:r>
      <w:r w:rsidR="00612165" w:rsidRPr="005204DB">
        <w:rPr>
          <w:rFonts w:ascii="Times New Roman" w:hAnsi="Times New Roman" w:cs="Times New Roman"/>
          <w:sz w:val="23"/>
          <w:szCs w:val="23"/>
        </w:rPr>
        <w:t>.</w:t>
      </w:r>
      <w:r w:rsidR="003E3186" w:rsidRPr="005204DB">
        <w:rPr>
          <w:rFonts w:ascii="Times New Roman" w:hAnsi="Times New Roman" w:cs="Times New Roman"/>
          <w:sz w:val="23"/>
          <w:szCs w:val="23"/>
        </w:rPr>
        <w:t xml:space="preserve"> </w:t>
      </w:r>
      <w:r w:rsidR="00D22080" w:rsidRPr="005204DB">
        <w:rPr>
          <w:rFonts w:ascii="Times New Roman" w:hAnsi="Times New Roman" w:cs="Times New Roman"/>
          <w:sz w:val="23"/>
          <w:szCs w:val="23"/>
        </w:rPr>
        <w:t xml:space="preserve">Because the CCRS workshop was largely </w:t>
      </w:r>
      <w:r w:rsidR="007F04CA" w:rsidRPr="005204DB">
        <w:rPr>
          <w:rFonts w:ascii="Times New Roman" w:hAnsi="Times New Roman" w:cs="Times New Roman"/>
          <w:sz w:val="23"/>
          <w:szCs w:val="23"/>
        </w:rPr>
        <w:t xml:space="preserve">revised, </w:t>
      </w:r>
      <w:r w:rsidR="00C23883">
        <w:rPr>
          <w:rFonts w:ascii="Times New Roman" w:hAnsi="Times New Roman" w:cs="Times New Roman"/>
          <w:sz w:val="23"/>
          <w:szCs w:val="23"/>
        </w:rPr>
        <w:t xml:space="preserve">DESE </w:t>
      </w:r>
      <w:r w:rsidR="000B3197" w:rsidRPr="005204DB">
        <w:rPr>
          <w:rFonts w:ascii="Times New Roman" w:hAnsi="Times New Roman" w:cs="Times New Roman"/>
          <w:sz w:val="23"/>
          <w:szCs w:val="23"/>
        </w:rPr>
        <w:t>AEL</w:t>
      </w:r>
      <w:r w:rsidR="00C23883">
        <w:rPr>
          <w:rFonts w:ascii="Times New Roman" w:hAnsi="Times New Roman" w:cs="Times New Roman"/>
          <w:sz w:val="23"/>
          <w:szCs w:val="23"/>
        </w:rPr>
        <w:t xml:space="preserve"> </w:t>
      </w:r>
      <w:r w:rsidR="000B3197" w:rsidRPr="005204DB">
        <w:rPr>
          <w:rFonts w:ascii="Times New Roman" w:hAnsi="Times New Roman" w:cs="Times New Roman"/>
          <w:sz w:val="23"/>
          <w:szCs w:val="23"/>
        </w:rPr>
        <w:t xml:space="preserve">also requested that </w:t>
      </w:r>
      <w:r w:rsidR="00ED5748" w:rsidRPr="005204DB">
        <w:rPr>
          <w:rFonts w:ascii="Times New Roman" w:hAnsi="Times New Roman" w:cs="Times New Roman"/>
          <w:sz w:val="23"/>
          <w:szCs w:val="23"/>
        </w:rPr>
        <w:t>the local program directors offer PD credit to any teacher who was willing to retake this workshop.</w:t>
      </w:r>
      <w:r w:rsidR="003E3186" w:rsidRPr="005204DB">
        <w:rPr>
          <w:rFonts w:ascii="Times New Roman" w:hAnsi="Times New Roman" w:cs="Times New Roman"/>
          <w:sz w:val="23"/>
          <w:szCs w:val="23"/>
        </w:rPr>
        <w:t xml:space="preserve"> </w:t>
      </w:r>
      <w:r w:rsidR="005E6552" w:rsidRPr="005204DB">
        <w:rPr>
          <w:rFonts w:ascii="Times New Roman" w:hAnsi="Times New Roman" w:cs="Times New Roman"/>
          <w:sz w:val="23"/>
          <w:szCs w:val="23"/>
        </w:rPr>
        <w:t xml:space="preserve">It is clear that </w:t>
      </w:r>
      <w:r w:rsidR="002A69B7" w:rsidRPr="005204DB">
        <w:rPr>
          <w:rFonts w:ascii="Times New Roman" w:hAnsi="Times New Roman" w:cs="Times New Roman"/>
          <w:sz w:val="23"/>
          <w:szCs w:val="23"/>
        </w:rPr>
        <w:t>DESE AEL</w:t>
      </w:r>
      <w:r w:rsidR="005E6552" w:rsidRPr="005204DB">
        <w:rPr>
          <w:rFonts w:ascii="Times New Roman" w:hAnsi="Times New Roman" w:cs="Times New Roman"/>
          <w:sz w:val="23"/>
          <w:szCs w:val="23"/>
        </w:rPr>
        <w:t xml:space="preserve"> is making progress in this area f</w:t>
      </w:r>
      <w:r w:rsidR="003E3186" w:rsidRPr="005204DB">
        <w:rPr>
          <w:rFonts w:ascii="Times New Roman" w:hAnsi="Times New Roman" w:cs="Times New Roman"/>
          <w:sz w:val="23"/>
          <w:szCs w:val="23"/>
        </w:rPr>
        <w:t>rom readin</w:t>
      </w:r>
      <w:r w:rsidR="00420CF7" w:rsidRPr="005204DB">
        <w:rPr>
          <w:rFonts w:ascii="Times New Roman" w:hAnsi="Times New Roman" w:cs="Times New Roman"/>
          <w:sz w:val="23"/>
          <w:szCs w:val="23"/>
        </w:rPr>
        <w:t xml:space="preserve">g the </w:t>
      </w:r>
      <w:r w:rsidR="00D22080" w:rsidRPr="005204DB">
        <w:rPr>
          <w:rFonts w:ascii="Times New Roman" w:hAnsi="Times New Roman" w:cs="Times New Roman"/>
          <w:sz w:val="23"/>
          <w:szCs w:val="23"/>
        </w:rPr>
        <w:t>CCRS workshop teacher evaluations</w:t>
      </w:r>
      <w:r w:rsidR="005E6552" w:rsidRPr="005204DB">
        <w:rPr>
          <w:rFonts w:ascii="Times New Roman" w:hAnsi="Times New Roman" w:cs="Times New Roman"/>
          <w:sz w:val="23"/>
          <w:szCs w:val="23"/>
        </w:rPr>
        <w:t xml:space="preserve">. </w:t>
      </w:r>
      <w:r w:rsidR="00ED1107" w:rsidRPr="005204DB">
        <w:rPr>
          <w:rFonts w:ascii="Times New Roman" w:hAnsi="Times New Roman" w:cs="Times New Roman"/>
          <w:sz w:val="23"/>
          <w:szCs w:val="23"/>
        </w:rPr>
        <w:t xml:space="preserve">Missouri continues to refine and develop </w:t>
      </w:r>
      <w:r w:rsidR="00ED1107" w:rsidRPr="005204DB">
        <w:rPr>
          <w:rFonts w:ascii="Times New Roman" w:hAnsi="Times New Roman" w:cs="Times New Roman"/>
          <w:sz w:val="23"/>
          <w:szCs w:val="23"/>
        </w:rPr>
        <w:lastRenderedPageBreak/>
        <w:t xml:space="preserve">workshops/trainings regarding CCR Standards, as well as other areas related to curriculum development.  Leadership funds were used in the development of PD. </w:t>
      </w:r>
    </w:p>
    <w:p w:rsidR="002A1FE5" w:rsidRPr="005204DB" w:rsidRDefault="006D33BF" w:rsidP="000B6FB9">
      <w:pPr>
        <w:pStyle w:val="ListParagraph"/>
        <w:numPr>
          <w:ilvl w:val="0"/>
          <w:numId w:val="1"/>
        </w:numPr>
        <w:spacing w:line="240" w:lineRule="auto"/>
        <w:rPr>
          <w:rFonts w:ascii="Times New Roman" w:hAnsi="Times New Roman" w:cs="Times New Roman"/>
          <w:b/>
          <w:sz w:val="23"/>
          <w:szCs w:val="23"/>
          <w:u w:val="single"/>
        </w:rPr>
      </w:pPr>
      <w:r w:rsidRPr="005204DB">
        <w:rPr>
          <w:rFonts w:ascii="Times New Roman" w:hAnsi="Times New Roman" w:cs="Times New Roman"/>
          <w:b/>
          <w:sz w:val="23"/>
          <w:szCs w:val="23"/>
          <w:u w:val="single"/>
        </w:rPr>
        <w:t>Programs for Corrections Education and the Education of Other Institutionalized Individuals (AEFLA Section 225)</w:t>
      </w:r>
    </w:p>
    <w:p w:rsidR="00E45B12" w:rsidRPr="005204DB" w:rsidRDefault="00713843" w:rsidP="000B6FB9">
      <w:pPr>
        <w:pStyle w:val="ListParagraph"/>
        <w:spacing w:line="240" w:lineRule="auto"/>
        <w:ind w:left="360"/>
        <w:rPr>
          <w:rFonts w:ascii="Times New Roman" w:eastAsiaTheme="minorEastAsia" w:hAnsi="Times New Roman" w:cs="Times New Roman"/>
          <w:b/>
          <w:i/>
          <w:color w:val="000000" w:themeColor="text1"/>
          <w:sz w:val="23"/>
          <w:szCs w:val="23"/>
        </w:rPr>
      </w:pPr>
      <w:r w:rsidRPr="005204DB">
        <w:rPr>
          <w:rFonts w:ascii="Times New Roman" w:eastAsiaTheme="minorEastAsia" w:hAnsi="Times New Roman" w:cs="Times New Roman"/>
          <w:b/>
          <w:i/>
          <w:color w:val="000000" w:themeColor="text1"/>
          <w:sz w:val="23"/>
          <w:szCs w:val="23"/>
        </w:rPr>
        <w:t>What was the relative rate of recidivism for criminal offenders served?  Please describe the</w:t>
      </w:r>
      <w:r w:rsidRPr="005204DB">
        <w:rPr>
          <w:rFonts w:ascii="Times New Roman" w:hAnsi="Times New Roman" w:cs="Times New Roman"/>
          <w:sz w:val="23"/>
          <w:szCs w:val="23"/>
          <w:highlight w:val="yellow"/>
        </w:rPr>
        <w:t xml:space="preserve"> </w:t>
      </w:r>
      <w:r w:rsidRPr="005204DB">
        <w:rPr>
          <w:rFonts w:ascii="Times New Roman" w:eastAsiaTheme="minorEastAsia" w:hAnsi="Times New Roman" w:cs="Times New Roman"/>
          <w:b/>
          <w:i/>
          <w:color w:val="000000" w:themeColor="text1"/>
          <w:sz w:val="23"/>
          <w:szCs w:val="23"/>
        </w:rPr>
        <w:t>methods and factors used in calculating the rate for this reporting period.</w:t>
      </w:r>
    </w:p>
    <w:p w:rsidR="00E45B12" w:rsidRDefault="00E45B12" w:rsidP="000B6FB9">
      <w:pPr>
        <w:pStyle w:val="ListParagraph"/>
        <w:spacing w:after="0" w:line="240" w:lineRule="auto"/>
        <w:ind w:left="0"/>
        <w:rPr>
          <w:rFonts w:ascii="Times New Roman" w:hAnsi="Times New Roman" w:cs="Times New Roman"/>
          <w:sz w:val="23"/>
          <w:szCs w:val="23"/>
        </w:rPr>
      </w:pPr>
      <w:r w:rsidRPr="005204DB">
        <w:rPr>
          <w:rFonts w:ascii="Times New Roman" w:hAnsi="Times New Roman" w:cs="Times New Roman"/>
          <w:sz w:val="23"/>
          <w:szCs w:val="23"/>
        </w:rPr>
        <w:t xml:space="preserve">To determine the recidivism rate for criminal offenders served, Missouri first looked at those individuals who were enrolled in Adult Education who were also incarcerated in the Department of Corrections </w:t>
      </w:r>
      <w:r w:rsidR="005C78AC" w:rsidRPr="005204DB">
        <w:rPr>
          <w:rFonts w:ascii="Times New Roman" w:hAnsi="Times New Roman" w:cs="Times New Roman"/>
          <w:sz w:val="23"/>
          <w:szCs w:val="23"/>
        </w:rPr>
        <w:t>with a release date of</w:t>
      </w:r>
      <w:r w:rsidRPr="005204DB">
        <w:rPr>
          <w:rFonts w:ascii="Times New Roman" w:hAnsi="Times New Roman" w:cs="Times New Roman"/>
          <w:sz w:val="23"/>
          <w:szCs w:val="23"/>
        </w:rPr>
        <w:t xml:space="preserve"> July 2016 through June 2017 through </w:t>
      </w:r>
      <w:r w:rsidR="005C78AC" w:rsidRPr="005204DB">
        <w:rPr>
          <w:rFonts w:ascii="Times New Roman" w:hAnsi="Times New Roman" w:cs="Times New Roman"/>
          <w:sz w:val="23"/>
          <w:szCs w:val="23"/>
        </w:rPr>
        <w:t xml:space="preserve">a </w:t>
      </w:r>
      <w:r w:rsidRPr="005204DB">
        <w:rPr>
          <w:rFonts w:ascii="Times New Roman" w:hAnsi="Times New Roman" w:cs="Times New Roman"/>
          <w:sz w:val="23"/>
          <w:szCs w:val="23"/>
        </w:rPr>
        <w:t xml:space="preserve">data match. </w:t>
      </w:r>
      <w:r w:rsidR="005C78AC" w:rsidRPr="005204DB">
        <w:rPr>
          <w:rFonts w:ascii="Times New Roman" w:hAnsi="Times New Roman" w:cs="Times New Roman"/>
          <w:sz w:val="23"/>
          <w:szCs w:val="23"/>
        </w:rPr>
        <w:t>The table below shows the recidivism rate through 2020 for those individuals. In past years, Missouri has reported this information using a different data methodology. The updated data collection procedure more accurately represents de-duplicated justice involved students.</w:t>
      </w:r>
      <w:r w:rsidR="006778E9" w:rsidRPr="005204DB">
        <w:rPr>
          <w:rFonts w:ascii="Times New Roman" w:hAnsi="Times New Roman" w:cs="Times New Roman"/>
          <w:sz w:val="23"/>
          <w:szCs w:val="23"/>
        </w:rPr>
        <w:t xml:space="preserve"> In all date ranges measured, the AEL student recidivism rate is considerably lower than that of the entire prison population. This demonstrates the capacity of our Department of Corrections AEL programs to impact their students’ lives in a meaningful way</w:t>
      </w:r>
      <w:r w:rsidR="000B6FB9" w:rsidRPr="005204DB">
        <w:rPr>
          <w:rFonts w:ascii="Times New Roman" w:hAnsi="Times New Roman" w:cs="Times New Roman"/>
          <w:sz w:val="23"/>
          <w:szCs w:val="23"/>
        </w:rPr>
        <w:t>.</w:t>
      </w:r>
    </w:p>
    <w:p w:rsidR="005204DB" w:rsidRPr="005204DB" w:rsidRDefault="005204DB" w:rsidP="000B6FB9">
      <w:pPr>
        <w:pStyle w:val="ListParagraph"/>
        <w:spacing w:after="0" w:line="240" w:lineRule="auto"/>
        <w:ind w:left="0"/>
        <w:rPr>
          <w:rFonts w:ascii="Times New Roman" w:hAnsi="Times New Roman" w:cs="Times New Roman"/>
          <w:sz w:val="23"/>
          <w:szCs w:val="23"/>
        </w:rPr>
      </w:pPr>
    </w:p>
    <w:tbl>
      <w:tblPr>
        <w:tblStyle w:val="TableGrid"/>
        <w:tblW w:w="9684" w:type="dxa"/>
        <w:tblInd w:w="-5" w:type="dxa"/>
        <w:tblLook w:val="04A0" w:firstRow="1" w:lastRow="0" w:firstColumn="1" w:lastColumn="0" w:noHBand="0" w:noVBand="1"/>
      </w:tblPr>
      <w:tblGrid>
        <w:gridCol w:w="2081"/>
        <w:gridCol w:w="1497"/>
        <w:gridCol w:w="1408"/>
        <w:gridCol w:w="1577"/>
        <w:gridCol w:w="1569"/>
        <w:gridCol w:w="1552"/>
      </w:tblGrid>
      <w:tr w:rsidR="00E45B12" w:rsidRPr="005204DB" w:rsidTr="00AC4841">
        <w:trPr>
          <w:trHeight w:val="440"/>
        </w:trPr>
        <w:tc>
          <w:tcPr>
            <w:tcW w:w="9684" w:type="dxa"/>
            <w:gridSpan w:val="6"/>
            <w:tcBorders>
              <w:top w:val="single" w:sz="4" w:space="0" w:color="auto"/>
              <w:left w:val="single" w:sz="4" w:space="0" w:color="auto"/>
              <w:bottom w:val="single" w:sz="4" w:space="0" w:color="auto"/>
              <w:right w:val="single" w:sz="4" w:space="0" w:color="auto"/>
            </w:tcBorders>
          </w:tcPr>
          <w:p w:rsidR="00E45B12" w:rsidRPr="005204DB" w:rsidRDefault="00E45B12" w:rsidP="000B6FB9">
            <w:pPr>
              <w:contextualSpacing/>
              <w:jc w:val="center"/>
              <w:rPr>
                <w:rFonts w:ascii="Times New Roman" w:eastAsiaTheme="minorEastAsia" w:hAnsi="Times New Roman" w:cs="Times New Roman"/>
                <w:b/>
                <w:sz w:val="23"/>
                <w:szCs w:val="23"/>
              </w:rPr>
            </w:pPr>
          </w:p>
          <w:p w:rsidR="00E45B12" w:rsidRPr="005204DB" w:rsidRDefault="00E45B12" w:rsidP="000B6FB9">
            <w:pPr>
              <w:contextualSpacing/>
              <w:jc w:val="center"/>
              <w:rPr>
                <w:rFonts w:ascii="Times New Roman" w:eastAsiaTheme="minorEastAsia" w:hAnsi="Times New Roman" w:cs="Times New Roman"/>
                <w:b/>
                <w:sz w:val="23"/>
                <w:szCs w:val="23"/>
              </w:rPr>
            </w:pPr>
            <w:r w:rsidRPr="005204DB">
              <w:rPr>
                <w:rFonts w:ascii="Times New Roman" w:eastAsiaTheme="minorEastAsia" w:hAnsi="Times New Roman" w:cs="Times New Roman"/>
                <w:b/>
                <w:sz w:val="23"/>
                <w:szCs w:val="23"/>
              </w:rPr>
              <w:t>Recidivism of Offenders E</w:t>
            </w:r>
            <w:r w:rsidR="00690B42" w:rsidRPr="005204DB">
              <w:rPr>
                <w:rFonts w:ascii="Times New Roman" w:eastAsiaTheme="minorEastAsia" w:hAnsi="Times New Roman" w:cs="Times New Roman"/>
                <w:b/>
                <w:sz w:val="23"/>
                <w:szCs w:val="23"/>
              </w:rPr>
              <w:t xml:space="preserve">xiting the </w:t>
            </w:r>
            <w:r w:rsidRPr="005204DB">
              <w:rPr>
                <w:rFonts w:ascii="Times New Roman" w:eastAsiaTheme="minorEastAsia" w:hAnsi="Times New Roman" w:cs="Times New Roman"/>
                <w:b/>
                <w:sz w:val="23"/>
                <w:szCs w:val="23"/>
              </w:rPr>
              <w:t>Adult Education and Literacy Program in 2017</w:t>
            </w:r>
          </w:p>
        </w:tc>
      </w:tr>
      <w:tr w:rsidR="00E45B12" w:rsidRPr="005204DB" w:rsidTr="00AC4841">
        <w:tc>
          <w:tcPr>
            <w:tcW w:w="2081" w:type="dxa"/>
            <w:tcBorders>
              <w:top w:val="single" w:sz="4" w:space="0" w:color="auto"/>
              <w:left w:val="single" w:sz="4" w:space="0" w:color="auto"/>
              <w:bottom w:val="single" w:sz="4" w:space="0" w:color="auto"/>
              <w:right w:val="single" w:sz="4" w:space="0" w:color="auto"/>
            </w:tcBorders>
            <w:hideMark/>
          </w:tcPr>
          <w:p w:rsidR="00E45B12" w:rsidRPr="005204DB" w:rsidRDefault="00E45B12" w:rsidP="000B6FB9">
            <w:pPr>
              <w:contextualSpacing/>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Year of</w:t>
            </w:r>
          </w:p>
          <w:p w:rsidR="00E45B12" w:rsidRPr="005204DB" w:rsidRDefault="00E45B12" w:rsidP="000B6FB9">
            <w:pPr>
              <w:contextualSpacing/>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Release</w:t>
            </w:r>
          </w:p>
        </w:tc>
        <w:tc>
          <w:tcPr>
            <w:tcW w:w="1497" w:type="dxa"/>
            <w:tcBorders>
              <w:top w:val="single" w:sz="4" w:space="0" w:color="auto"/>
              <w:left w:val="single" w:sz="4" w:space="0" w:color="auto"/>
              <w:bottom w:val="single" w:sz="4" w:space="0" w:color="auto"/>
              <w:right w:val="single" w:sz="4" w:space="0" w:color="auto"/>
            </w:tcBorders>
            <w:hideMark/>
          </w:tcPr>
          <w:p w:rsidR="00E45B12" w:rsidRPr="005204DB" w:rsidRDefault="00E45B12" w:rsidP="000B6FB9">
            <w:pPr>
              <w:contextualSpacing/>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Number of</w:t>
            </w:r>
          </w:p>
          <w:p w:rsidR="00E45B12" w:rsidRPr="005204DB" w:rsidRDefault="00E45B12" w:rsidP="000B6FB9">
            <w:pPr>
              <w:contextualSpacing/>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 xml:space="preserve"> Releases</w:t>
            </w:r>
          </w:p>
        </w:tc>
        <w:tc>
          <w:tcPr>
            <w:tcW w:w="6106" w:type="dxa"/>
            <w:gridSpan w:val="4"/>
            <w:tcBorders>
              <w:top w:val="single" w:sz="4" w:space="0" w:color="auto"/>
              <w:left w:val="single" w:sz="4" w:space="0" w:color="auto"/>
              <w:bottom w:val="single" w:sz="4" w:space="0" w:color="auto"/>
              <w:right w:val="single" w:sz="4" w:space="0" w:color="auto"/>
            </w:tcBorders>
          </w:tcPr>
          <w:p w:rsidR="00E45B12" w:rsidRPr="005204DB" w:rsidRDefault="00E45B12" w:rsidP="000B6FB9">
            <w:pPr>
              <w:contextualSpacing/>
              <w:jc w:val="center"/>
              <w:rPr>
                <w:rFonts w:ascii="Times New Roman" w:eastAsiaTheme="minorEastAsia" w:hAnsi="Times New Roman" w:cs="Times New Roman"/>
                <w:sz w:val="23"/>
                <w:szCs w:val="23"/>
              </w:rPr>
            </w:pPr>
          </w:p>
          <w:p w:rsidR="00E45B12" w:rsidRPr="005204DB" w:rsidRDefault="00690B42" w:rsidP="000B6FB9">
            <w:pPr>
              <w:contextualSpacing/>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Return to Incarceration Within</w:t>
            </w:r>
            <w:r w:rsidR="005C78AC" w:rsidRPr="005204DB">
              <w:rPr>
                <w:rFonts w:ascii="Times New Roman" w:eastAsiaTheme="minorEastAsia" w:hAnsi="Times New Roman" w:cs="Times New Roman"/>
                <w:sz w:val="23"/>
                <w:szCs w:val="23"/>
              </w:rPr>
              <w:t>:</w:t>
            </w:r>
          </w:p>
        </w:tc>
      </w:tr>
      <w:tr w:rsidR="00E45B12" w:rsidRPr="005204DB" w:rsidTr="00AC4841">
        <w:tc>
          <w:tcPr>
            <w:tcW w:w="2081" w:type="dxa"/>
            <w:tcBorders>
              <w:top w:val="single" w:sz="4" w:space="0" w:color="auto"/>
              <w:left w:val="single" w:sz="4" w:space="0" w:color="auto"/>
              <w:bottom w:val="single" w:sz="4" w:space="0" w:color="auto"/>
              <w:right w:val="single" w:sz="4" w:space="0" w:color="auto"/>
            </w:tcBorders>
          </w:tcPr>
          <w:p w:rsidR="00E45B12" w:rsidRPr="005204DB" w:rsidRDefault="00E45B12" w:rsidP="000B6FB9">
            <w:pPr>
              <w:contextualSpacing/>
              <w:rPr>
                <w:rFonts w:ascii="Times New Roman" w:eastAsiaTheme="minorEastAsia" w:hAnsi="Times New Roman" w:cs="Times New Roman"/>
                <w:sz w:val="23"/>
                <w:szCs w:val="23"/>
              </w:rPr>
            </w:pPr>
          </w:p>
        </w:tc>
        <w:tc>
          <w:tcPr>
            <w:tcW w:w="1497" w:type="dxa"/>
            <w:tcBorders>
              <w:top w:val="single" w:sz="4" w:space="0" w:color="auto"/>
              <w:left w:val="single" w:sz="4" w:space="0" w:color="auto"/>
              <w:bottom w:val="single" w:sz="4" w:space="0" w:color="auto"/>
              <w:right w:val="single" w:sz="4" w:space="0" w:color="auto"/>
            </w:tcBorders>
          </w:tcPr>
          <w:p w:rsidR="00E45B12" w:rsidRPr="005204DB" w:rsidRDefault="00E45B12" w:rsidP="000B6FB9">
            <w:pPr>
              <w:contextualSpacing/>
              <w:rPr>
                <w:rFonts w:ascii="Times New Roman" w:eastAsiaTheme="minorEastAsia" w:hAnsi="Times New Roman" w:cs="Times New Roman"/>
                <w:sz w:val="23"/>
                <w:szCs w:val="23"/>
              </w:rPr>
            </w:pPr>
          </w:p>
        </w:tc>
        <w:tc>
          <w:tcPr>
            <w:tcW w:w="1408" w:type="dxa"/>
            <w:tcBorders>
              <w:top w:val="single" w:sz="4" w:space="0" w:color="auto"/>
              <w:left w:val="single" w:sz="4" w:space="0" w:color="auto"/>
              <w:bottom w:val="single" w:sz="4" w:space="0" w:color="auto"/>
              <w:right w:val="single" w:sz="4" w:space="0" w:color="auto"/>
            </w:tcBorders>
            <w:hideMark/>
          </w:tcPr>
          <w:p w:rsidR="00E45B12" w:rsidRPr="005204DB" w:rsidRDefault="00E45B12" w:rsidP="000B6FB9">
            <w:pPr>
              <w:contextualSpacing/>
              <w:jc w:val="center"/>
              <w:rPr>
                <w:rFonts w:ascii="Times New Roman" w:eastAsiaTheme="minorEastAsia" w:hAnsi="Times New Roman" w:cs="Times New Roman"/>
                <w:b/>
                <w:sz w:val="23"/>
                <w:szCs w:val="23"/>
              </w:rPr>
            </w:pPr>
            <w:r w:rsidRPr="005204DB">
              <w:rPr>
                <w:rFonts w:ascii="Times New Roman" w:eastAsiaTheme="minorEastAsia" w:hAnsi="Times New Roman" w:cs="Times New Roman"/>
                <w:b/>
                <w:sz w:val="23"/>
                <w:szCs w:val="23"/>
              </w:rPr>
              <w:t>6 months</w:t>
            </w:r>
          </w:p>
        </w:tc>
        <w:tc>
          <w:tcPr>
            <w:tcW w:w="1577" w:type="dxa"/>
            <w:tcBorders>
              <w:top w:val="single" w:sz="4" w:space="0" w:color="auto"/>
              <w:left w:val="single" w:sz="4" w:space="0" w:color="auto"/>
              <w:bottom w:val="single" w:sz="4" w:space="0" w:color="auto"/>
              <w:right w:val="single" w:sz="4" w:space="0" w:color="auto"/>
            </w:tcBorders>
            <w:hideMark/>
          </w:tcPr>
          <w:p w:rsidR="00E45B12" w:rsidRPr="005204DB" w:rsidRDefault="00E45B12" w:rsidP="000B6FB9">
            <w:pPr>
              <w:contextualSpacing/>
              <w:jc w:val="center"/>
              <w:rPr>
                <w:rFonts w:ascii="Times New Roman" w:eastAsiaTheme="minorEastAsia" w:hAnsi="Times New Roman" w:cs="Times New Roman"/>
                <w:b/>
                <w:sz w:val="23"/>
                <w:szCs w:val="23"/>
              </w:rPr>
            </w:pPr>
            <w:r w:rsidRPr="005204DB">
              <w:rPr>
                <w:rFonts w:ascii="Times New Roman" w:eastAsiaTheme="minorEastAsia" w:hAnsi="Times New Roman" w:cs="Times New Roman"/>
                <w:b/>
                <w:sz w:val="23"/>
                <w:szCs w:val="23"/>
              </w:rPr>
              <w:t>12 months</w:t>
            </w:r>
          </w:p>
        </w:tc>
        <w:tc>
          <w:tcPr>
            <w:tcW w:w="1569" w:type="dxa"/>
            <w:tcBorders>
              <w:top w:val="single" w:sz="4" w:space="0" w:color="auto"/>
              <w:left w:val="single" w:sz="4" w:space="0" w:color="auto"/>
              <w:bottom w:val="single" w:sz="4" w:space="0" w:color="auto"/>
              <w:right w:val="single" w:sz="4" w:space="0" w:color="auto"/>
            </w:tcBorders>
            <w:hideMark/>
          </w:tcPr>
          <w:p w:rsidR="00E45B12" w:rsidRPr="005204DB" w:rsidRDefault="00E45B12" w:rsidP="000B6FB9">
            <w:pPr>
              <w:contextualSpacing/>
              <w:jc w:val="center"/>
              <w:rPr>
                <w:rFonts w:ascii="Times New Roman" w:eastAsiaTheme="minorEastAsia" w:hAnsi="Times New Roman" w:cs="Times New Roman"/>
                <w:b/>
                <w:sz w:val="23"/>
                <w:szCs w:val="23"/>
              </w:rPr>
            </w:pPr>
            <w:r w:rsidRPr="005204DB">
              <w:rPr>
                <w:rFonts w:ascii="Times New Roman" w:eastAsiaTheme="minorEastAsia" w:hAnsi="Times New Roman" w:cs="Times New Roman"/>
                <w:b/>
                <w:sz w:val="23"/>
                <w:szCs w:val="23"/>
              </w:rPr>
              <w:t>2 years</w:t>
            </w:r>
          </w:p>
        </w:tc>
        <w:tc>
          <w:tcPr>
            <w:tcW w:w="1552" w:type="dxa"/>
            <w:tcBorders>
              <w:top w:val="single" w:sz="4" w:space="0" w:color="auto"/>
              <w:left w:val="single" w:sz="4" w:space="0" w:color="auto"/>
              <w:bottom w:val="single" w:sz="4" w:space="0" w:color="auto"/>
              <w:right w:val="single" w:sz="4" w:space="0" w:color="auto"/>
            </w:tcBorders>
            <w:hideMark/>
          </w:tcPr>
          <w:p w:rsidR="00E45B12" w:rsidRPr="005204DB" w:rsidRDefault="00E45B12" w:rsidP="000B6FB9">
            <w:pPr>
              <w:contextualSpacing/>
              <w:jc w:val="center"/>
              <w:rPr>
                <w:rFonts w:ascii="Times New Roman" w:eastAsiaTheme="minorEastAsia" w:hAnsi="Times New Roman" w:cs="Times New Roman"/>
                <w:b/>
                <w:sz w:val="23"/>
                <w:szCs w:val="23"/>
              </w:rPr>
            </w:pPr>
            <w:r w:rsidRPr="005204DB">
              <w:rPr>
                <w:rFonts w:ascii="Times New Roman" w:eastAsiaTheme="minorEastAsia" w:hAnsi="Times New Roman" w:cs="Times New Roman"/>
                <w:b/>
                <w:sz w:val="23"/>
                <w:szCs w:val="23"/>
              </w:rPr>
              <w:t>3 years</w:t>
            </w:r>
          </w:p>
        </w:tc>
      </w:tr>
      <w:tr w:rsidR="00E45B12" w:rsidRPr="005204DB" w:rsidTr="00AC4841">
        <w:tc>
          <w:tcPr>
            <w:tcW w:w="2081" w:type="dxa"/>
            <w:tcBorders>
              <w:top w:val="single" w:sz="4" w:space="0" w:color="auto"/>
              <w:left w:val="single" w:sz="4" w:space="0" w:color="auto"/>
              <w:bottom w:val="single" w:sz="4" w:space="0" w:color="auto"/>
              <w:right w:val="single" w:sz="4" w:space="0" w:color="auto"/>
            </w:tcBorders>
            <w:hideMark/>
          </w:tcPr>
          <w:p w:rsidR="00E45B12" w:rsidRPr="005204DB" w:rsidRDefault="00E45B12" w:rsidP="000B6FB9">
            <w:pPr>
              <w:contextualSpacing/>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FY2017</w:t>
            </w:r>
          </w:p>
        </w:tc>
        <w:tc>
          <w:tcPr>
            <w:tcW w:w="1497" w:type="dxa"/>
            <w:tcBorders>
              <w:top w:val="single" w:sz="4" w:space="0" w:color="auto"/>
              <w:left w:val="single" w:sz="4" w:space="0" w:color="auto"/>
              <w:bottom w:val="single" w:sz="4" w:space="0" w:color="auto"/>
              <w:right w:val="single" w:sz="4" w:space="0" w:color="auto"/>
            </w:tcBorders>
            <w:hideMark/>
          </w:tcPr>
          <w:p w:rsidR="00E45B12" w:rsidRPr="005204DB" w:rsidRDefault="00690B42" w:rsidP="000B6FB9">
            <w:pPr>
              <w:contextualSpacing/>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187</w:t>
            </w:r>
          </w:p>
        </w:tc>
        <w:tc>
          <w:tcPr>
            <w:tcW w:w="1408" w:type="dxa"/>
            <w:tcBorders>
              <w:top w:val="single" w:sz="4" w:space="0" w:color="auto"/>
              <w:left w:val="single" w:sz="4" w:space="0" w:color="auto"/>
              <w:bottom w:val="single" w:sz="4" w:space="0" w:color="auto"/>
              <w:right w:val="single" w:sz="4" w:space="0" w:color="auto"/>
            </w:tcBorders>
            <w:hideMark/>
          </w:tcPr>
          <w:p w:rsidR="00E45B12" w:rsidRPr="005204DB" w:rsidRDefault="00BE2A97" w:rsidP="000B6FB9">
            <w:pPr>
              <w:contextualSpacing/>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6.5%</w:t>
            </w:r>
          </w:p>
        </w:tc>
        <w:tc>
          <w:tcPr>
            <w:tcW w:w="1577" w:type="dxa"/>
            <w:tcBorders>
              <w:top w:val="single" w:sz="4" w:space="0" w:color="auto"/>
              <w:left w:val="single" w:sz="4" w:space="0" w:color="auto"/>
              <w:bottom w:val="single" w:sz="4" w:space="0" w:color="auto"/>
              <w:right w:val="single" w:sz="4" w:space="0" w:color="auto"/>
            </w:tcBorders>
            <w:hideMark/>
          </w:tcPr>
          <w:p w:rsidR="00E45B12" w:rsidRPr="005204DB" w:rsidRDefault="00BE2A97" w:rsidP="000B6FB9">
            <w:pPr>
              <w:contextualSpacing/>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17.3%</w:t>
            </w:r>
          </w:p>
        </w:tc>
        <w:tc>
          <w:tcPr>
            <w:tcW w:w="1569" w:type="dxa"/>
            <w:tcBorders>
              <w:top w:val="single" w:sz="4" w:space="0" w:color="auto"/>
              <w:left w:val="single" w:sz="4" w:space="0" w:color="auto"/>
              <w:bottom w:val="single" w:sz="4" w:space="0" w:color="auto"/>
              <w:right w:val="single" w:sz="4" w:space="0" w:color="auto"/>
            </w:tcBorders>
            <w:hideMark/>
          </w:tcPr>
          <w:p w:rsidR="00E45B12" w:rsidRPr="005204DB" w:rsidRDefault="00BE2A97" w:rsidP="000B6FB9">
            <w:pPr>
              <w:contextualSpacing/>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33.5%</w:t>
            </w:r>
          </w:p>
        </w:tc>
        <w:tc>
          <w:tcPr>
            <w:tcW w:w="1552" w:type="dxa"/>
            <w:tcBorders>
              <w:top w:val="single" w:sz="4" w:space="0" w:color="auto"/>
              <w:left w:val="single" w:sz="4" w:space="0" w:color="auto"/>
              <w:bottom w:val="single" w:sz="4" w:space="0" w:color="auto"/>
              <w:right w:val="single" w:sz="4" w:space="0" w:color="auto"/>
            </w:tcBorders>
            <w:hideMark/>
          </w:tcPr>
          <w:p w:rsidR="00E45B12" w:rsidRPr="005204DB" w:rsidRDefault="00BE2A97" w:rsidP="000B6FB9">
            <w:pPr>
              <w:contextualSpacing/>
              <w:jc w:val="center"/>
              <w:rPr>
                <w:rFonts w:ascii="Times New Roman" w:eastAsiaTheme="minorEastAsia" w:hAnsi="Times New Roman" w:cs="Times New Roman"/>
                <w:sz w:val="23"/>
                <w:szCs w:val="23"/>
              </w:rPr>
            </w:pPr>
            <w:r w:rsidRPr="005204DB">
              <w:rPr>
                <w:rFonts w:ascii="Times New Roman" w:eastAsiaTheme="minorEastAsia" w:hAnsi="Times New Roman" w:cs="Times New Roman"/>
                <w:sz w:val="23"/>
                <w:szCs w:val="23"/>
              </w:rPr>
              <w:t>36.2%</w:t>
            </w:r>
          </w:p>
        </w:tc>
      </w:tr>
    </w:tbl>
    <w:p w:rsidR="005204DB" w:rsidRDefault="005204DB" w:rsidP="000B6FB9">
      <w:pPr>
        <w:spacing w:line="240" w:lineRule="auto"/>
        <w:rPr>
          <w:rFonts w:ascii="Times New Roman" w:hAnsi="Times New Roman" w:cs="Times New Roman"/>
          <w:sz w:val="23"/>
          <w:szCs w:val="23"/>
        </w:rPr>
      </w:pPr>
    </w:p>
    <w:p w:rsidR="005C78AC" w:rsidRPr="005204DB" w:rsidRDefault="005C78AC" w:rsidP="000B6FB9">
      <w:pPr>
        <w:spacing w:line="240" w:lineRule="auto"/>
        <w:rPr>
          <w:rFonts w:ascii="Times New Roman" w:hAnsi="Times New Roman" w:cs="Times New Roman"/>
          <w:sz w:val="23"/>
          <w:szCs w:val="23"/>
        </w:rPr>
      </w:pPr>
      <w:r w:rsidRPr="005204DB">
        <w:rPr>
          <w:rFonts w:ascii="Times New Roman" w:hAnsi="Times New Roman" w:cs="Times New Roman"/>
          <w:sz w:val="23"/>
          <w:szCs w:val="23"/>
        </w:rPr>
        <w:t xml:space="preserve">COVID-19 presented a host of challenges for these programs. Meeting in </w:t>
      </w:r>
      <w:r w:rsidR="00FA24A4" w:rsidRPr="005204DB">
        <w:rPr>
          <w:rFonts w:ascii="Times New Roman" w:hAnsi="Times New Roman" w:cs="Times New Roman"/>
          <w:sz w:val="23"/>
          <w:szCs w:val="23"/>
        </w:rPr>
        <w:t xml:space="preserve">person was </w:t>
      </w:r>
      <w:r w:rsidRPr="005204DB">
        <w:rPr>
          <w:rFonts w:ascii="Times New Roman" w:hAnsi="Times New Roman" w:cs="Times New Roman"/>
          <w:sz w:val="23"/>
          <w:szCs w:val="23"/>
        </w:rPr>
        <w:t>eliminated</w:t>
      </w:r>
      <w:r w:rsidR="00FA24A4" w:rsidRPr="005204DB">
        <w:rPr>
          <w:rFonts w:ascii="Times New Roman" w:hAnsi="Times New Roman" w:cs="Times New Roman"/>
          <w:sz w:val="23"/>
          <w:szCs w:val="23"/>
        </w:rPr>
        <w:t xml:space="preserve"> almost</w:t>
      </w:r>
      <w:r w:rsidRPr="005204DB">
        <w:rPr>
          <w:rFonts w:ascii="Times New Roman" w:hAnsi="Times New Roman" w:cs="Times New Roman"/>
          <w:sz w:val="23"/>
          <w:szCs w:val="23"/>
        </w:rPr>
        <w:t xml:space="preserve"> completely and students do not have access to any type of technology that could further their learning. Teachers have kept students engaged using printed materials and are taking advantage of rare opportunities to test and assess students any time that opportunity presents itself. Missouri Department of Corrections AEL programs will continue to overcome barriers and </w:t>
      </w:r>
      <w:r w:rsidR="00E328B7" w:rsidRPr="005204DB">
        <w:rPr>
          <w:rFonts w:ascii="Times New Roman" w:hAnsi="Times New Roman" w:cs="Times New Roman"/>
          <w:sz w:val="23"/>
          <w:szCs w:val="23"/>
        </w:rPr>
        <w:t>deliver quality programs to its population.</w:t>
      </w:r>
    </w:p>
    <w:sectPr w:rsidR="005C78AC" w:rsidRPr="005204DB" w:rsidSect="00360A6C">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A87"/>
    <w:multiLevelType w:val="hybridMultilevel"/>
    <w:tmpl w:val="A9D27AA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2A20E84"/>
    <w:multiLevelType w:val="hybridMultilevel"/>
    <w:tmpl w:val="1F02E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B5B321F"/>
    <w:multiLevelType w:val="hybridMultilevel"/>
    <w:tmpl w:val="F814D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CE5815"/>
    <w:multiLevelType w:val="hybridMultilevel"/>
    <w:tmpl w:val="C3369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721601"/>
    <w:multiLevelType w:val="hybridMultilevel"/>
    <w:tmpl w:val="C3FE9F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6876C00"/>
    <w:multiLevelType w:val="hybridMultilevel"/>
    <w:tmpl w:val="4474AAAE"/>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494762E6"/>
    <w:multiLevelType w:val="hybridMultilevel"/>
    <w:tmpl w:val="D590A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C6F7C16"/>
    <w:multiLevelType w:val="hybridMultilevel"/>
    <w:tmpl w:val="4474AAAE"/>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56DF697E"/>
    <w:multiLevelType w:val="hybridMultilevel"/>
    <w:tmpl w:val="6F685C3E"/>
    <w:lvl w:ilvl="0" w:tplc="2204387A">
      <w:start w:val="1"/>
      <w:numFmt w:val="decimal"/>
      <w:lvlText w:val="%1."/>
      <w:lvlJc w:val="left"/>
      <w:pPr>
        <w:ind w:left="360" w:hanging="360"/>
      </w:pPr>
      <w:rPr>
        <w:b/>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B8E0F1D"/>
    <w:multiLevelType w:val="hybridMultilevel"/>
    <w:tmpl w:val="1BD2B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482A33"/>
    <w:multiLevelType w:val="hybridMultilevel"/>
    <w:tmpl w:val="07B86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47C55"/>
    <w:multiLevelType w:val="hybridMultilevel"/>
    <w:tmpl w:val="4474AAAE"/>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6B65438A"/>
    <w:multiLevelType w:val="hybridMultilevel"/>
    <w:tmpl w:val="30B62D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052A9"/>
    <w:multiLevelType w:val="hybridMultilevel"/>
    <w:tmpl w:val="B3B26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D719CC"/>
    <w:multiLevelType w:val="hybridMultilevel"/>
    <w:tmpl w:val="2F2E40B6"/>
    <w:lvl w:ilvl="0" w:tplc="FAECE95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6"/>
  </w:num>
  <w:num w:numId="6">
    <w:abstractNumId w:val="10"/>
  </w:num>
  <w:num w:numId="7">
    <w:abstractNumId w:val="12"/>
  </w:num>
  <w:num w:numId="8">
    <w:abstractNumId w:val="8"/>
  </w:num>
  <w:num w:numId="9">
    <w:abstractNumId w:val="13"/>
  </w:num>
  <w:num w:numId="10">
    <w:abstractNumId w:val="2"/>
  </w:num>
  <w:num w:numId="11">
    <w:abstractNumId w:val="9"/>
  </w:num>
  <w:num w:numId="12">
    <w:abstractNumId w:val="3"/>
  </w:num>
  <w:num w:numId="13">
    <w:abstractNumId w:val="7"/>
  </w:num>
  <w:num w:numId="14">
    <w:abstractNumId w:val="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B8"/>
    <w:rsid w:val="00000B1F"/>
    <w:rsid w:val="00000DBB"/>
    <w:rsid w:val="0001240D"/>
    <w:rsid w:val="000141EF"/>
    <w:rsid w:val="00015506"/>
    <w:rsid w:val="00021043"/>
    <w:rsid w:val="00021921"/>
    <w:rsid w:val="000257B7"/>
    <w:rsid w:val="00050223"/>
    <w:rsid w:val="000536BD"/>
    <w:rsid w:val="00067DEE"/>
    <w:rsid w:val="0007104C"/>
    <w:rsid w:val="00074C04"/>
    <w:rsid w:val="000752BF"/>
    <w:rsid w:val="0008399D"/>
    <w:rsid w:val="000842BE"/>
    <w:rsid w:val="00091D9B"/>
    <w:rsid w:val="000A65A7"/>
    <w:rsid w:val="000B3197"/>
    <w:rsid w:val="000B6FB9"/>
    <w:rsid w:val="000C2CF8"/>
    <w:rsid w:val="000D44ED"/>
    <w:rsid w:val="000D4BC7"/>
    <w:rsid w:val="000E03B1"/>
    <w:rsid w:val="000E58F7"/>
    <w:rsid w:val="000E6869"/>
    <w:rsid w:val="000E6A6B"/>
    <w:rsid w:val="000E729C"/>
    <w:rsid w:val="000F2581"/>
    <w:rsid w:val="000F4474"/>
    <w:rsid w:val="000F4996"/>
    <w:rsid w:val="00101514"/>
    <w:rsid w:val="00102BE1"/>
    <w:rsid w:val="00105698"/>
    <w:rsid w:val="00110BC5"/>
    <w:rsid w:val="00122900"/>
    <w:rsid w:val="001235DB"/>
    <w:rsid w:val="0012513B"/>
    <w:rsid w:val="00127108"/>
    <w:rsid w:val="0012733B"/>
    <w:rsid w:val="001309F7"/>
    <w:rsid w:val="0013124D"/>
    <w:rsid w:val="001343A8"/>
    <w:rsid w:val="0013630C"/>
    <w:rsid w:val="001426AD"/>
    <w:rsid w:val="00143174"/>
    <w:rsid w:val="00144E49"/>
    <w:rsid w:val="00145C1E"/>
    <w:rsid w:val="00146486"/>
    <w:rsid w:val="00147C6B"/>
    <w:rsid w:val="00155CB6"/>
    <w:rsid w:val="00157CC2"/>
    <w:rsid w:val="00164ACB"/>
    <w:rsid w:val="00172C97"/>
    <w:rsid w:val="0017710E"/>
    <w:rsid w:val="00191946"/>
    <w:rsid w:val="0019411A"/>
    <w:rsid w:val="001A2A75"/>
    <w:rsid w:val="001A2FE5"/>
    <w:rsid w:val="001B1A6E"/>
    <w:rsid w:val="001B3516"/>
    <w:rsid w:val="001B4BCF"/>
    <w:rsid w:val="001B5D00"/>
    <w:rsid w:val="001B60C0"/>
    <w:rsid w:val="001C06B2"/>
    <w:rsid w:val="001C2039"/>
    <w:rsid w:val="001C328B"/>
    <w:rsid w:val="001D46FD"/>
    <w:rsid w:val="001D62FF"/>
    <w:rsid w:val="001D7A46"/>
    <w:rsid w:val="001E05B3"/>
    <w:rsid w:val="001F3B97"/>
    <w:rsid w:val="001F3BC1"/>
    <w:rsid w:val="001F74E8"/>
    <w:rsid w:val="001F7B50"/>
    <w:rsid w:val="0020298E"/>
    <w:rsid w:val="002053BA"/>
    <w:rsid w:val="0020558C"/>
    <w:rsid w:val="00211B1B"/>
    <w:rsid w:val="00217F92"/>
    <w:rsid w:val="00226074"/>
    <w:rsid w:val="00226C5C"/>
    <w:rsid w:val="00231784"/>
    <w:rsid w:val="00234D87"/>
    <w:rsid w:val="0023749D"/>
    <w:rsid w:val="0024014D"/>
    <w:rsid w:val="002567ED"/>
    <w:rsid w:val="002617A4"/>
    <w:rsid w:val="002628FA"/>
    <w:rsid w:val="00266981"/>
    <w:rsid w:val="0027281D"/>
    <w:rsid w:val="00273F03"/>
    <w:rsid w:val="002766FB"/>
    <w:rsid w:val="00276EAC"/>
    <w:rsid w:val="0028204F"/>
    <w:rsid w:val="002876CC"/>
    <w:rsid w:val="002A1FE5"/>
    <w:rsid w:val="002A69B7"/>
    <w:rsid w:val="002A77CF"/>
    <w:rsid w:val="002D0A67"/>
    <w:rsid w:val="002D0E86"/>
    <w:rsid w:val="002D15C8"/>
    <w:rsid w:val="002D40CF"/>
    <w:rsid w:val="002D500C"/>
    <w:rsid w:val="002E4090"/>
    <w:rsid w:val="002F3767"/>
    <w:rsid w:val="00302259"/>
    <w:rsid w:val="00302493"/>
    <w:rsid w:val="003039A0"/>
    <w:rsid w:val="00303ABA"/>
    <w:rsid w:val="003254D5"/>
    <w:rsid w:val="003306EF"/>
    <w:rsid w:val="0036068A"/>
    <w:rsid w:val="00360A6C"/>
    <w:rsid w:val="00360C53"/>
    <w:rsid w:val="003728F9"/>
    <w:rsid w:val="003737D0"/>
    <w:rsid w:val="00387913"/>
    <w:rsid w:val="003A3792"/>
    <w:rsid w:val="003A3D42"/>
    <w:rsid w:val="003B4B55"/>
    <w:rsid w:val="003B5763"/>
    <w:rsid w:val="003C7F8F"/>
    <w:rsid w:val="003D2710"/>
    <w:rsid w:val="003D7D2A"/>
    <w:rsid w:val="003E0E29"/>
    <w:rsid w:val="003E3186"/>
    <w:rsid w:val="003E65D7"/>
    <w:rsid w:val="003F479B"/>
    <w:rsid w:val="00400096"/>
    <w:rsid w:val="00403A3E"/>
    <w:rsid w:val="004121F2"/>
    <w:rsid w:val="004140D8"/>
    <w:rsid w:val="00414A01"/>
    <w:rsid w:val="00415B0F"/>
    <w:rsid w:val="00416F58"/>
    <w:rsid w:val="00420CF7"/>
    <w:rsid w:val="00425CCD"/>
    <w:rsid w:val="00442911"/>
    <w:rsid w:val="00443829"/>
    <w:rsid w:val="00443BEC"/>
    <w:rsid w:val="00454754"/>
    <w:rsid w:val="0046177C"/>
    <w:rsid w:val="004619AC"/>
    <w:rsid w:val="00472A33"/>
    <w:rsid w:val="00487A15"/>
    <w:rsid w:val="004979B1"/>
    <w:rsid w:val="004A0ABC"/>
    <w:rsid w:val="004A4F52"/>
    <w:rsid w:val="004B0EF7"/>
    <w:rsid w:val="004B50E0"/>
    <w:rsid w:val="004C1022"/>
    <w:rsid w:val="004D21BB"/>
    <w:rsid w:val="004D2CB6"/>
    <w:rsid w:val="004E44CD"/>
    <w:rsid w:val="004F1D43"/>
    <w:rsid w:val="004F421F"/>
    <w:rsid w:val="004F5B9E"/>
    <w:rsid w:val="00506953"/>
    <w:rsid w:val="00515980"/>
    <w:rsid w:val="005204DB"/>
    <w:rsid w:val="00522036"/>
    <w:rsid w:val="00526984"/>
    <w:rsid w:val="00532CCB"/>
    <w:rsid w:val="005337E7"/>
    <w:rsid w:val="00534205"/>
    <w:rsid w:val="00546394"/>
    <w:rsid w:val="005527AA"/>
    <w:rsid w:val="00555A09"/>
    <w:rsid w:val="00556015"/>
    <w:rsid w:val="005604A9"/>
    <w:rsid w:val="00563827"/>
    <w:rsid w:val="00563C12"/>
    <w:rsid w:val="005707D1"/>
    <w:rsid w:val="00572AEF"/>
    <w:rsid w:val="005933D6"/>
    <w:rsid w:val="00595B60"/>
    <w:rsid w:val="00596A6E"/>
    <w:rsid w:val="00596D0E"/>
    <w:rsid w:val="005A5DC4"/>
    <w:rsid w:val="005A6382"/>
    <w:rsid w:val="005B1E40"/>
    <w:rsid w:val="005B1EA5"/>
    <w:rsid w:val="005C705E"/>
    <w:rsid w:val="005C78AC"/>
    <w:rsid w:val="005D0598"/>
    <w:rsid w:val="005D1FB6"/>
    <w:rsid w:val="005D3E3D"/>
    <w:rsid w:val="005D73EC"/>
    <w:rsid w:val="005D7F77"/>
    <w:rsid w:val="005E1D92"/>
    <w:rsid w:val="005E6552"/>
    <w:rsid w:val="005F09BB"/>
    <w:rsid w:val="005F25B7"/>
    <w:rsid w:val="005F3918"/>
    <w:rsid w:val="00612165"/>
    <w:rsid w:val="006128BB"/>
    <w:rsid w:val="0061294E"/>
    <w:rsid w:val="00613EB4"/>
    <w:rsid w:val="00627759"/>
    <w:rsid w:val="0063182B"/>
    <w:rsid w:val="006332E8"/>
    <w:rsid w:val="00634DE6"/>
    <w:rsid w:val="0063600B"/>
    <w:rsid w:val="0064033C"/>
    <w:rsid w:val="0064561C"/>
    <w:rsid w:val="0064705A"/>
    <w:rsid w:val="00650729"/>
    <w:rsid w:val="006512F6"/>
    <w:rsid w:val="00662A4C"/>
    <w:rsid w:val="00672074"/>
    <w:rsid w:val="00675B5C"/>
    <w:rsid w:val="00676A6E"/>
    <w:rsid w:val="006778E9"/>
    <w:rsid w:val="0068014E"/>
    <w:rsid w:val="006853DA"/>
    <w:rsid w:val="0068634A"/>
    <w:rsid w:val="00690B42"/>
    <w:rsid w:val="006912FE"/>
    <w:rsid w:val="00694BA3"/>
    <w:rsid w:val="006A08F9"/>
    <w:rsid w:val="006A34F2"/>
    <w:rsid w:val="006A5196"/>
    <w:rsid w:val="006B4F25"/>
    <w:rsid w:val="006B5468"/>
    <w:rsid w:val="006C135B"/>
    <w:rsid w:val="006C35CA"/>
    <w:rsid w:val="006C6745"/>
    <w:rsid w:val="006C6E63"/>
    <w:rsid w:val="006D33BF"/>
    <w:rsid w:val="006E0FC3"/>
    <w:rsid w:val="006E217D"/>
    <w:rsid w:val="006E61DD"/>
    <w:rsid w:val="006E6C67"/>
    <w:rsid w:val="00700C22"/>
    <w:rsid w:val="00705A1B"/>
    <w:rsid w:val="007121E5"/>
    <w:rsid w:val="007124B8"/>
    <w:rsid w:val="00713843"/>
    <w:rsid w:val="00721275"/>
    <w:rsid w:val="007252DB"/>
    <w:rsid w:val="00727F05"/>
    <w:rsid w:val="0073026C"/>
    <w:rsid w:val="00734A16"/>
    <w:rsid w:val="007365F9"/>
    <w:rsid w:val="00744518"/>
    <w:rsid w:val="007554DC"/>
    <w:rsid w:val="007557C6"/>
    <w:rsid w:val="00763CE4"/>
    <w:rsid w:val="007650CB"/>
    <w:rsid w:val="00773B6E"/>
    <w:rsid w:val="007830CC"/>
    <w:rsid w:val="007937B4"/>
    <w:rsid w:val="00794063"/>
    <w:rsid w:val="007A56D5"/>
    <w:rsid w:val="007B0434"/>
    <w:rsid w:val="007B6D73"/>
    <w:rsid w:val="007B77DE"/>
    <w:rsid w:val="007D1D81"/>
    <w:rsid w:val="007D295E"/>
    <w:rsid w:val="007E1A85"/>
    <w:rsid w:val="007F04CA"/>
    <w:rsid w:val="007F7AB1"/>
    <w:rsid w:val="008005E7"/>
    <w:rsid w:val="00811F4C"/>
    <w:rsid w:val="00812E2B"/>
    <w:rsid w:val="008134B3"/>
    <w:rsid w:val="0081484B"/>
    <w:rsid w:val="00823EDB"/>
    <w:rsid w:val="008261E5"/>
    <w:rsid w:val="00836AF8"/>
    <w:rsid w:val="00837127"/>
    <w:rsid w:val="00837F8E"/>
    <w:rsid w:val="00841B92"/>
    <w:rsid w:val="00845AC4"/>
    <w:rsid w:val="00862F13"/>
    <w:rsid w:val="008719A6"/>
    <w:rsid w:val="00872303"/>
    <w:rsid w:val="00883507"/>
    <w:rsid w:val="008836EE"/>
    <w:rsid w:val="00891D7C"/>
    <w:rsid w:val="00896648"/>
    <w:rsid w:val="008B3A92"/>
    <w:rsid w:val="008B404E"/>
    <w:rsid w:val="008B5701"/>
    <w:rsid w:val="008B61DE"/>
    <w:rsid w:val="008B6CEC"/>
    <w:rsid w:val="008B778A"/>
    <w:rsid w:val="008B7D6A"/>
    <w:rsid w:val="008D00F3"/>
    <w:rsid w:val="008D74D2"/>
    <w:rsid w:val="008E08D5"/>
    <w:rsid w:val="008E4C8A"/>
    <w:rsid w:val="008E51D7"/>
    <w:rsid w:val="008F6CBB"/>
    <w:rsid w:val="008F780D"/>
    <w:rsid w:val="00900A63"/>
    <w:rsid w:val="00913F80"/>
    <w:rsid w:val="0092213A"/>
    <w:rsid w:val="0092772C"/>
    <w:rsid w:val="009310C8"/>
    <w:rsid w:val="00934DC9"/>
    <w:rsid w:val="0094097F"/>
    <w:rsid w:val="00941D26"/>
    <w:rsid w:val="00946641"/>
    <w:rsid w:val="00956852"/>
    <w:rsid w:val="0096131A"/>
    <w:rsid w:val="0096215A"/>
    <w:rsid w:val="0096240D"/>
    <w:rsid w:val="00983A99"/>
    <w:rsid w:val="00985AE0"/>
    <w:rsid w:val="00985EF0"/>
    <w:rsid w:val="00991A58"/>
    <w:rsid w:val="00991F70"/>
    <w:rsid w:val="00994649"/>
    <w:rsid w:val="009A18DC"/>
    <w:rsid w:val="009A5C03"/>
    <w:rsid w:val="009B7BFB"/>
    <w:rsid w:val="009C507F"/>
    <w:rsid w:val="009C6846"/>
    <w:rsid w:val="009C715C"/>
    <w:rsid w:val="009D725E"/>
    <w:rsid w:val="009E0830"/>
    <w:rsid w:val="009E37B0"/>
    <w:rsid w:val="009E6622"/>
    <w:rsid w:val="009F3B75"/>
    <w:rsid w:val="009F5B8D"/>
    <w:rsid w:val="00A00D2E"/>
    <w:rsid w:val="00A04DC0"/>
    <w:rsid w:val="00A0660C"/>
    <w:rsid w:val="00A07C40"/>
    <w:rsid w:val="00A121D4"/>
    <w:rsid w:val="00A14E8B"/>
    <w:rsid w:val="00A15E84"/>
    <w:rsid w:val="00A178E0"/>
    <w:rsid w:val="00A22BDE"/>
    <w:rsid w:val="00A238A0"/>
    <w:rsid w:val="00A243D0"/>
    <w:rsid w:val="00A3770D"/>
    <w:rsid w:val="00A4349D"/>
    <w:rsid w:val="00A458A3"/>
    <w:rsid w:val="00A51B44"/>
    <w:rsid w:val="00A5395D"/>
    <w:rsid w:val="00A61300"/>
    <w:rsid w:val="00A61CA4"/>
    <w:rsid w:val="00A71A3E"/>
    <w:rsid w:val="00A80479"/>
    <w:rsid w:val="00A83894"/>
    <w:rsid w:val="00A93B02"/>
    <w:rsid w:val="00A94B99"/>
    <w:rsid w:val="00AA2A1B"/>
    <w:rsid w:val="00AB3CAA"/>
    <w:rsid w:val="00AC079D"/>
    <w:rsid w:val="00AC53DA"/>
    <w:rsid w:val="00AC5450"/>
    <w:rsid w:val="00AC5FB2"/>
    <w:rsid w:val="00AD2AA0"/>
    <w:rsid w:val="00AD48D5"/>
    <w:rsid w:val="00AD601C"/>
    <w:rsid w:val="00AE01B7"/>
    <w:rsid w:val="00AE12EC"/>
    <w:rsid w:val="00AE1EA5"/>
    <w:rsid w:val="00AE20B7"/>
    <w:rsid w:val="00AE57B5"/>
    <w:rsid w:val="00AF173C"/>
    <w:rsid w:val="00B0066F"/>
    <w:rsid w:val="00B05323"/>
    <w:rsid w:val="00B163FC"/>
    <w:rsid w:val="00B352BA"/>
    <w:rsid w:val="00B353CC"/>
    <w:rsid w:val="00B3715E"/>
    <w:rsid w:val="00B4128D"/>
    <w:rsid w:val="00B50744"/>
    <w:rsid w:val="00B57682"/>
    <w:rsid w:val="00B601BC"/>
    <w:rsid w:val="00B62ED1"/>
    <w:rsid w:val="00B64986"/>
    <w:rsid w:val="00B64B73"/>
    <w:rsid w:val="00B92615"/>
    <w:rsid w:val="00B92DD1"/>
    <w:rsid w:val="00B977A0"/>
    <w:rsid w:val="00B97E1B"/>
    <w:rsid w:val="00BA3098"/>
    <w:rsid w:val="00BA361A"/>
    <w:rsid w:val="00BB1F73"/>
    <w:rsid w:val="00BB7F53"/>
    <w:rsid w:val="00BC0A7E"/>
    <w:rsid w:val="00BC7AAE"/>
    <w:rsid w:val="00BD5EA0"/>
    <w:rsid w:val="00BD71A9"/>
    <w:rsid w:val="00BE2A97"/>
    <w:rsid w:val="00BE6A96"/>
    <w:rsid w:val="00BF0A41"/>
    <w:rsid w:val="00BF467D"/>
    <w:rsid w:val="00C0326A"/>
    <w:rsid w:val="00C107CB"/>
    <w:rsid w:val="00C127CC"/>
    <w:rsid w:val="00C13675"/>
    <w:rsid w:val="00C23883"/>
    <w:rsid w:val="00C23C86"/>
    <w:rsid w:val="00C26876"/>
    <w:rsid w:val="00C27243"/>
    <w:rsid w:val="00C34434"/>
    <w:rsid w:val="00C4715E"/>
    <w:rsid w:val="00C47522"/>
    <w:rsid w:val="00C47E1E"/>
    <w:rsid w:val="00C531EE"/>
    <w:rsid w:val="00C5687B"/>
    <w:rsid w:val="00C745A9"/>
    <w:rsid w:val="00C913B0"/>
    <w:rsid w:val="00CA1964"/>
    <w:rsid w:val="00CA4F54"/>
    <w:rsid w:val="00CB3D4D"/>
    <w:rsid w:val="00CB6360"/>
    <w:rsid w:val="00CC009F"/>
    <w:rsid w:val="00CC1124"/>
    <w:rsid w:val="00CC63C5"/>
    <w:rsid w:val="00CC79F6"/>
    <w:rsid w:val="00CE2628"/>
    <w:rsid w:val="00CE29DA"/>
    <w:rsid w:val="00CF4B46"/>
    <w:rsid w:val="00CF6434"/>
    <w:rsid w:val="00CF6E65"/>
    <w:rsid w:val="00CF7A67"/>
    <w:rsid w:val="00D110C6"/>
    <w:rsid w:val="00D11B64"/>
    <w:rsid w:val="00D13425"/>
    <w:rsid w:val="00D22080"/>
    <w:rsid w:val="00D26514"/>
    <w:rsid w:val="00D27B10"/>
    <w:rsid w:val="00D332D6"/>
    <w:rsid w:val="00D36F93"/>
    <w:rsid w:val="00D37232"/>
    <w:rsid w:val="00D50211"/>
    <w:rsid w:val="00D5166A"/>
    <w:rsid w:val="00D5514D"/>
    <w:rsid w:val="00D63C0E"/>
    <w:rsid w:val="00D73C92"/>
    <w:rsid w:val="00D75197"/>
    <w:rsid w:val="00D90195"/>
    <w:rsid w:val="00D90449"/>
    <w:rsid w:val="00DA2674"/>
    <w:rsid w:val="00DB064C"/>
    <w:rsid w:val="00DB1D85"/>
    <w:rsid w:val="00DB3CE6"/>
    <w:rsid w:val="00DC710F"/>
    <w:rsid w:val="00DD1C7A"/>
    <w:rsid w:val="00DE311B"/>
    <w:rsid w:val="00DE5B61"/>
    <w:rsid w:val="00DE5C71"/>
    <w:rsid w:val="00DE7D1B"/>
    <w:rsid w:val="00DF0A04"/>
    <w:rsid w:val="00DF2C33"/>
    <w:rsid w:val="00DF4273"/>
    <w:rsid w:val="00E05548"/>
    <w:rsid w:val="00E05D0A"/>
    <w:rsid w:val="00E13E82"/>
    <w:rsid w:val="00E1589C"/>
    <w:rsid w:val="00E306C8"/>
    <w:rsid w:val="00E3130C"/>
    <w:rsid w:val="00E328B7"/>
    <w:rsid w:val="00E45B12"/>
    <w:rsid w:val="00E5638E"/>
    <w:rsid w:val="00E677E4"/>
    <w:rsid w:val="00E7030D"/>
    <w:rsid w:val="00E717DB"/>
    <w:rsid w:val="00E745D6"/>
    <w:rsid w:val="00E803FB"/>
    <w:rsid w:val="00E808B8"/>
    <w:rsid w:val="00E82899"/>
    <w:rsid w:val="00E85CEE"/>
    <w:rsid w:val="00EA2510"/>
    <w:rsid w:val="00EA7545"/>
    <w:rsid w:val="00EC1E23"/>
    <w:rsid w:val="00ED1107"/>
    <w:rsid w:val="00ED42D9"/>
    <w:rsid w:val="00ED5748"/>
    <w:rsid w:val="00EE1416"/>
    <w:rsid w:val="00EF056D"/>
    <w:rsid w:val="00EF0A2F"/>
    <w:rsid w:val="00EF378A"/>
    <w:rsid w:val="00EF55C1"/>
    <w:rsid w:val="00F02779"/>
    <w:rsid w:val="00F04AA6"/>
    <w:rsid w:val="00F05524"/>
    <w:rsid w:val="00F15826"/>
    <w:rsid w:val="00F21DF3"/>
    <w:rsid w:val="00F34FBB"/>
    <w:rsid w:val="00F426ED"/>
    <w:rsid w:val="00F531A9"/>
    <w:rsid w:val="00F553BB"/>
    <w:rsid w:val="00F61FB3"/>
    <w:rsid w:val="00F67FAD"/>
    <w:rsid w:val="00F739CD"/>
    <w:rsid w:val="00F73A3C"/>
    <w:rsid w:val="00F80A72"/>
    <w:rsid w:val="00F830F9"/>
    <w:rsid w:val="00F92673"/>
    <w:rsid w:val="00F939A7"/>
    <w:rsid w:val="00F96188"/>
    <w:rsid w:val="00F975EF"/>
    <w:rsid w:val="00FA24A4"/>
    <w:rsid w:val="00FB70A6"/>
    <w:rsid w:val="00FB77C7"/>
    <w:rsid w:val="00FB7EB7"/>
    <w:rsid w:val="00FC1005"/>
    <w:rsid w:val="00FC473D"/>
    <w:rsid w:val="00FD17F4"/>
    <w:rsid w:val="00FD3150"/>
    <w:rsid w:val="00FD62B8"/>
    <w:rsid w:val="00FE1595"/>
    <w:rsid w:val="00FF2911"/>
    <w:rsid w:val="00FF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2F68"/>
  <w15:chartTrackingRefBased/>
  <w15:docId w15:val="{DDBF4CEC-B3F8-4A14-BB80-8668CC99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2B8"/>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2B8"/>
    <w:pPr>
      <w:ind w:left="720"/>
      <w:contextualSpacing/>
    </w:pPr>
  </w:style>
  <w:style w:type="table" w:styleId="TableGrid">
    <w:name w:val="Table Grid"/>
    <w:basedOn w:val="TableNormal"/>
    <w:uiPriority w:val="59"/>
    <w:rsid w:val="00A61C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E0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0FC3"/>
    <w:pPr>
      <w:spacing w:after="0" w:line="240" w:lineRule="auto"/>
    </w:pPr>
    <w:rPr>
      <w:rFonts w:ascii="Arial" w:hAnsi="Arial" w:cs="Arial"/>
      <w:sz w:val="24"/>
    </w:rPr>
  </w:style>
  <w:style w:type="paragraph" w:styleId="BalloonText">
    <w:name w:val="Balloon Text"/>
    <w:basedOn w:val="Normal"/>
    <w:link w:val="BalloonTextChar"/>
    <w:uiPriority w:val="99"/>
    <w:semiHidden/>
    <w:unhideWhenUsed/>
    <w:rsid w:val="00F83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89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10</Pages>
  <Words>4927</Words>
  <Characters>28087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Heseman, Mary</dc:creator>
  <cp:keywords/>
  <dc:description/>
  <cp:lastModifiedBy>Wadley, Megan</cp:lastModifiedBy>
  <cp:revision>22</cp:revision>
  <cp:lastPrinted>2019-11-18T19:44:00Z</cp:lastPrinted>
  <dcterms:created xsi:type="dcterms:W3CDTF">2020-12-04T21:09:00Z</dcterms:created>
  <dcterms:modified xsi:type="dcterms:W3CDTF">2020-12-30T20:09:00Z</dcterms:modified>
</cp:coreProperties>
</file>