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0799" w14:textId="717494CC" w:rsidR="00BC370A" w:rsidRPr="002E0C57" w:rsidRDefault="00CA55B4" w:rsidP="00175B11">
      <w:pPr>
        <w:rPr>
          <w:rFonts w:cstheme="minorHAnsi"/>
          <w:b/>
          <w:bCs/>
          <w:i/>
          <w:iCs/>
        </w:rPr>
      </w:pPr>
      <w:r w:rsidRPr="002E0C57">
        <w:rPr>
          <w:rFonts w:cstheme="minorHAnsi"/>
          <w:b/>
          <w:bCs/>
          <w:i/>
          <w:iCs/>
        </w:rPr>
        <w:t>Maine Narrative Report PY</w:t>
      </w:r>
      <w:r w:rsidR="007C5BD6" w:rsidRPr="002E0C57">
        <w:rPr>
          <w:rFonts w:cstheme="minorHAnsi"/>
          <w:b/>
          <w:bCs/>
          <w:i/>
          <w:iCs/>
        </w:rPr>
        <w:t xml:space="preserve"> 2019</w:t>
      </w:r>
    </w:p>
    <w:p w14:paraId="5E864ACA" w14:textId="74B1453B" w:rsidR="00406D04" w:rsidRPr="002E0C57" w:rsidRDefault="00DA7A9E" w:rsidP="00406D04">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 xml:space="preserve">State Leadership Funds </w:t>
      </w:r>
    </w:p>
    <w:p w14:paraId="4FB9E484" w14:textId="77777777" w:rsidR="00175B11" w:rsidRPr="002E0C57" w:rsidRDefault="00175B11" w:rsidP="00857586">
      <w:pPr>
        <w:pStyle w:val="ListParagraph"/>
        <w:rPr>
          <w:rFonts w:asciiTheme="minorHAnsi" w:hAnsiTheme="minorHAnsi" w:cstheme="minorHAnsi"/>
          <w:b/>
          <w:bCs/>
          <w:i/>
          <w:iCs/>
        </w:rPr>
      </w:pPr>
    </w:p>
    <w:p w14:paraId="4653C38A" w14:textId="336BFAE4" w:rsidR="00406D04" w:rsidRPr="002E0C57" w:rsidRDefault="00627724" w:rsidP="00627724">
      <w:pPr>
        <w:rPr>
          <w:rFonts w:cstheme="minorHAnsi"/>
          <w:b/>
          <w:bCs/>
          <w:i/>
          <w:iCs/>
        </w:rPr>
      </w:pPr>
      <w:r w:rsidRPr="002E0C57">
        <w:rPr>
          <w:rFonts w:cstheme="minorHAnsi"/>
          <w:b/>
          <w:bCs/>
          <w:i/>
          <w:iCs/>
        </w:rPr>
        <w:t>i.Alignment</w:t>
      </w:r>
      <w:r w:rsidR="000F4362" w:rsidRPr="002E0C57">
        <w:rPr>
          <w:rFonts w:cstheme="minorHAnsi"/>
          <w:b/>
          <w:bCs/>
          <w:i/>
          <w:iCs/>
        </w:rPr>
        <w:t xml:space="preserve"> of adult education and literacy activities with other one-stop partners to implement the strategies in the Unifie</w:t>
      </w:r>
      <w:r w:rsidR="00126B73" w:rsidRPr="002E0C57">
        <w:rPr>
          <w:rFonts w:cstheme="minorHAnsi"/>
          <w:b/>
          <w:bCs/>
          <w:i/>
          <w:iCs/>
        </w:rPr>
        <w:t>d or Combined State Plan as described in section 223(1)(a).</w:t>
      </w:r>
    </w:p>
    <w:p w14:paraId="56FE14A9" w14:textId="3A6E0534" w:rsidR="001349A8" w:rsidRPr="002E0C57" w:rsidRDefault="00594515" w:rsidP="00627724">
      <w:pPr>
        <w:rPr>
          <w:rFonts w:cstheme="minorHAnsi"/>
        </w:rPr>
      </w:pPr>
      <w:r w:rsidRPr="002E0C57">
        <w:rPr>
          <w:rFonts w:cstheme="minorHAnsi"/>
        </w:rPr>
        <w:t xml:space="preserve">The </w:t>
      </w:r>
      <w:r w:rsidR="003776C6">
        <w:rPr>
          <w:rFonts w:cstheme="minorHAnsi"/>
        </w:rPr>
        <w:t xml:space="preserve">State’s </w:t>
      </w:r>
      <w:r w:rsidRPr="002E0C57">
        <w:rPr>
          <w:rFonts w:cstheme="minorHAnsi"/>
        </w:rPr>
        <w:t xml:space="preserve">three </w:t>
      </w:r>
      <w:r w:rsidR="00DC018E" w:rsidRPr="002E0C57">
        <w:rPr>
          <w:rFonts w:cstheme="minorHAnsi"/>
        </w:rPr>
        <w:t xml:space="preserve">workforce boards </w:t>
      </w:r>
      <w:r w:rsidR="00723766" w:rsidRPr="002E0C57">
        <w:rPr>
          <w:rFonts w:cstheme="minorHAnsi"/>
        </w:rPr>
        <w:t>host</w:t>
      </w:r>
      <w:r w:rsidR="00DC018E" w:rsidRPr="002E0C57">
        <w:rPr>
          <w:rFonts w:cstheme="minorHAnsi"/>
        </w:rPr>
        <w:t xml:space="preserve"> regular meetings </w:t>
      </w:r>
      <w:r w:rsidR="00723766" w:rsidRPr="002E0C57">
        <w:rPr>
          <w:rFonts w:cstheme="minorHAnsi"/>
        </w:rPr>
        <w:t xml:space="preserve">for </w:t>
      </w:r>
      <w:r w:rsidR="00DC018E" w:rsidRPr="002E0C57">
        <w:rPr>
          <w:rFonts w:cstheme="minorHAnsi"/>
        </w:rPr>
        <w:t>one-stop partners</w:t>
      </w:r>
      <w:r w:rsidR="00F36A0E">
        <w:rPr>
          <w:rFonts w:cstheme="minorHAnsi"/>
        </w:rPr>
        <w:t xml:space="preserve"> through the one-stop operator. </w:t>
      </w:r>
      <w:r w:rsidR="00DC018E" w:rsidRPr="002E0C57">
        <w:rPr>
          <w:rFonts w:cstheme="minorHAnsi"/>
        </w:rPr>
        <w:t>The primary agenda item</w:t>
      </w:r>
      <w:r w:rsidR="00723766" w:rsidRPr="002E0C57">
        <w:rPr>
          <w:rFonts w:cstheme="minorHAnsi"/>
        </w:rPr>
        <w:t>s</w:t>
      </w:r>
      <w:r w:rsidR="00DC018E" w:rsidRPr="002E0C57">
        <w:rPr>
          <w:rFonts w:cstheme="minorHAnsi"/>
        </w:rPr>
        <w:t xml:space="preserve"> for those meetings </w:t>
      </w:r>
      <w:r w:rsidR="00890326">
        <w:rPr>
          <w:rFonts w:cstheme="minorHAnsi"/>
        </w:rPr>
        <w:t>are</w:t>
      </w:r>
      <w:r w:rsidR="00DC018E" w:rsidRPr="002E0C57">
        <w:rPr>
          <w:rFonts w:cstheme="minorHAnsi"/>
        </w:rPr>
        <w:t xml:space="preserve"> to share available program offerings,</w:t>
      </w:r>
      <w:r w:rsidR="00890326">
        <w:rPr>
          <w:rFonts w:cstheme="minorHAnsi"/>
        </w:rPr>
        <w:t xml:space="preserve"> address how to</w:t>
      </w:r>
      <w:r w:rsidR="00DC018E" w:rsidRPr="002E0C57">
        <w:rPr>
          <w:rFonts w:cstheme="minorHAnsi"/>
        </w:rPr>
        <w:t xml:space="preserve"> meet the needs of common clients, and </w:t>
      </w:r>
      <w:r w:rsidR="00FB3668">
        <w:rPr>
          <w:rFonts w:cstheme="minorHAnsi"/>
        </w:rPr>
        <w:t xml:space="preserve">to </w:t>
      </w:r>
      <w:r w:rsidR="00F023CD" w:rsidRPr="002E0C57">
        <w:rPr>
          <w:rFonts w:cstheme="minorHAnsi"/>
        </w:rPr>
        <w:t xml:space="preserve">look for opportunities to collaborate. Only a few adult education programs are physically co-located within a one-stop </w:t>
      </w:r>
      <w:r w:rsidR="00294733" w:rsidRPr="002E0C57">
        <w:rPr>
          <w:rFonts w:cstheme="minorHAnsi"/>
        </w:rPr>
        <w:t xml:space="preserve">so it is especially important to have an effective referral </w:t>
      </w:r>
      <w:r w:rsidR="00FB3668">
        <w:rPr>
          <w:rFonts w:cstheme="minorHAnsi"/>
        </w:rPr>
        <w:t xml:space="preserve">and information sharing process </w:t>
      </w:r>
      <w:r w:rsidR="00294733" w:rsidRPr="002E0C57">
        <w:rPr>
          <w:rFonts w:cstheme="minorHAnsi"/>
        </w:rPr>
        <w:t>in place</w:t>
      </w:r>
      <w:r w:rsidR="00F023CD" w:rsidRPr="002E0C57">
        <w:rPr>
          <w:rFonts w:cstheme="minorHAnsi"/>
        </w:rPr>
        <w:t xml:space="preserve">. </w:t>
      </w:r>
      <w:r w:rsidR="007E6C9E" w:rsidRPr="002E0C57">
        <w:rPr>
          <w:rFonts w:cstheme="minorHAnsi"/>
        </w:rPr>
        <w:t xml:space="preserve">A major </w:t>
      </w:r>
      <w:r w:rsidR="00E34F87">
        <w:rPr>
          <w:rFonts w:cstheme="minorHAnsi"/>
        </w:rPr>
        <w:t xml:space="preserve">alignment </w:t>
      </w:r>
      <w:r w:rsidR="007E6C9E" w:rsidRPr="002E0C57">
        <w:rPr>
          <w:rFonts w:cstheme="minorHAnsi"/>
        </w:rPr>
        <w:t xml:space="preserve">effort in PY19 was to develop a </w:t>
      </w:r>
      <w:r w:rsidR="00A51EC8" w:rsidRPr="002E0C57">
        <w:rPr>
          <w:rFonts w:cstheme="minorHAnsi"/>
        </w:rPr>
        <w:t xml:space="preserve">referral and client facing portal where adults could learn about the programs and services of the core partners, </w:t>
      </w:r>
      <w:r w:rsidR="007E0459" w:rsidRPr="002E0C57">
        <w:rPr>
          <w:rFonts w:cstheme="minorHAnsi"/>
        </w:rPr>
        <w:t xml:space="preserve">complete a VR intake form, fill out a self-referral form and request additional information from any of the partners. </w:t>
      </w:r>
      <w:r w:rsidR="001C2368" w:rsidRPr="002E0C57">
        <w:rPr>
          <w:rFonts w:cstheme="minorHAnsi"/>
        </w:rPr>
        <w:t xml:space="preserve">Adult education participates with other one-stop partners in sharing brochures, </w:t>
      </w:r>
      <w:r w:rsidR="00FC0A65">
        <w:rPr>
          <w:rFonts w:cstheme="minorHAnsi"/>
        </w:rPr>
        <w:t xml:space="preserve">providing </w:t>
      </w:r>
      <w:r w:rsidR="001C2368" w:rsidRPr="002E0C57">
        <w:rPr>
          <w:rFonts w:cstheme="minorHAnsi"/>
        </w:rPr>
        <w:t>updates to practices</w:t>
      </w:r>
      <w:r w:rsidR="00134968" w:rsidRPr="002E0C57">
        <w:rPr>
          <w:rFonts w:cstheme="minorHAnsi"/>
        </w:rPr>
        <w:t xml:space="preserve">, placing adult education programs on the Eligible Trainer Provider List and </w:t>
      </w:r>
      <w:r w:rsidR="006E3518" w:rsidRPr="002E0C57">
        <w:rPr>
          <w:rFonts w:cstheme="minorHAnsi"/>
        </w:rPr>
        <w:t xml:space="preserve">cross-training opportunities. </w:t>
      </w:r>
    </w:p>
    <w:p w14:paraId="3290BBB0" w14:textId="2F9EA5CF" w:rsidR="00E17B63" w:rsidRPr="002E0C57" w:rsidRDefault="006E3518" w:rsidP="00A77140">
      <w:pPr>
        <w:rPr>
          <w:rFonts w:cstheme="minorHAnsi"/>
        </w:rPr>
      </w:pPr>
      <w:r w:rsidRPr="002E0C57">
        <w:rPr>
          <w:rFonts w:cstheme="minorHAnsi"/>
        </w:rPr>
        <w:t xml:space="preserve">PY19 </w:t>
      </w:r>
      <w:r w:rsidR="00CC5385" w:rsidRPr="002E0C57">
        <w:rPr>
          <w:rFonts w:cstheme="minorHAnsi"/>
        </w:rPr>
        <w:t xml:space="preserve">was a year of real progress with the post-secondary partners. </w:t>
      </w:r>
      <w:r w:rsidR="00140911" w:rsidRPr="002E0C57">
        <w:rPr>
          <w:rFonts w:cstheme="minorHAnsi"/>
        </w:rPr>
        <w:t>A large community college campus entered into an agreement with area adult education pro</w:t>
      </w:r>
      <w:r w:rsidR="007F7781">
        <w:rPr>
          <w:rFonts w:cstheme="minorHAnsi"/>
        </w:rPr>
        <w:t>gram</w:t>
      </w:r>
      <w:r w:rsidR="00140911" w:rsidRPr="002E0C57">
        <w:rPr>
          <w:rFonts w:cstheme="minorHAnsi"/>
        </w:rPr>
        <w:t>s t</w:t>
      </w:r>
      <w:r w:rsidR="0085489C" w:rsidRPr="002E0C57">
        <w:rPr>
          <w:rFonts w:cstheme="minorHAnsi"/>
        </w:rPr>
        <w:t xml:space="preserve">o provide </w:t>
      </w:r>
      <w:r w:rsidR="00220FA3" w:rsidRPr="002E0C57">
        <w:rPr>
          <w:rFonts w:cstheme="minorHAnsi"/>
        </w:rPr>
        <w:t xml:space="preserve">dedicated classroom </w:t>
      </w:r>
      <w:r w:rsidR="006E2C24">
        <w:rPr>
          <w:rFonts w:cstheme="minorHAnsi"/>
        </w:rPr>
        <w:t xml:space="preserve">and advising </w:t>
      </w:r>
      <w:r w:rsidR="00220FA3" w:rsidRPr="002E0C57">
        <w:rPr>
          <w:rFonts w:cstheme="minorHAnsi"/>
        </w:rPr>
        <w:t xml:space="preserve">space on the campus, </w:t>
      </w:r>
      <w:r w:rsidR="0085489C" w:rsidRPr="002E0C57">
        <w:rPr>
          <w:rFonts w:cstheme="minorHAnsi"/>
        </w:rPr>
        <w:t xml:space="preserve">include AE courses in their class listings, </w:t>
      </w:r>
      <w:r w:rsidR="00395B6D" w:rsidRPr="002E0C57">
        <w:rPr>
          <w:rFonts w:cstheme="minorHAnsi"/>
        </w:rPr>
        <w:t>a</w:t>
      </w:r>
      <w:r w:rsidR="0003051E" w:rsidRPr="002E0C57">
        <w:rPr>
          <w:rFonts w:cstheme="minorHAnsi"/>
        </w:rPr>
        <w:t xml:space="preserve">nd provide college ID badges </w:t>
      </w:r>
      <w:r w:rsidR="007F7781">
        <w:rPr>
          <w:rFonts w:cstheme="minorHAnsi"/>
        </w:rPr>
        <w:t>to</w:t>
      </w:r>
      <w:r w:rsidR="0003051E" w:rsidRPr="002E0C57">
        <w:rPr>
          <w:rFonts w:cstheme="minorHAnsi"/>
        </w:rPr>
        <w:t xml:space="preserve"> adult education students. These badges enabled learners to access</w:t>
      </w:r>
      <w:r w:rsidR="002969AC">
        <w:rPr>
          <w:rFonts w:cstheme="minorHAnsi"/>
        </w:rPr>
        <w:t xml:space="preserve"> the library and other</w:t>
      </w:r>
      <w:r w:rsidR="0003051E" w:rsidRPr="002E0C57">
        <w:rPr>
          <w:rFonts w:cstheme="minorHAnsi"/>
        </w:rPr>
        <w:t xml:space="preserve"> campus support services and ride the </w:t>
      </w:r>
      <w:r w:rsidR="00D83815" w:rsidRPr="002E0C57">
        <w:rPr>
          <w:rFonts w:cstheme="minorHAnsi"/>
        </w:rPr>
        <w:t xml:space="preserve">city buses for free. A campus in western Maine hosted a regional </w:t>
      </w:r>
      <w:r w:rsidR="00BC5794" w:rsidRPr="002E0C57">
        <w:rPr>
          <w:rFonts w:cstheme="minorHAnsi"/>
        </w:rPr>
        <w:t xml:space="preserve">adult education </w:t>
      </w:r>
      <w:r w:rsidR="003E1872" w:rsidRPr="002E0C57">
        <w:rPr>
          <w:rFonts w:cstheme="minorHAnsi"/>
        </w:rPr>
        <w:t>college transition program</w:t>
      </w:r>
      <w:r w:rsidR="00BC5794" w:rsidRPr="002E0C57">
        <w:rPr>
          <w:rFonts w:cstheme="minorHAnsi"/>
        </w:rPr>
        <w:t>.</w:t>
      </w:r>
      <w:r w:rsidR="00A77140" w:rsidRPr="002E0C57">
        <w:rPr>
          <w:rFonts w:cstheme="minorHAnsi"/>
        </w:rPr>
        <w:t xml:space="preserve"> The college provided access to the college’s learning management system</w:t>
      </w:r>
      <w:r w:rsidR="001B48C2" w:rsidRPr="002E0C57">
        <w:rPr>
          <w:rFonts w:cstheme="minorHAnsi"/>
        </w:rPr>
        <w:t xml:space="preserve">, </w:t>
      </w:r>
      <w:r w:rsidR="00A77140" w:rsidRPr="002E0C57">
        <w:rPr>
          <w:rFonts w:cstheme="minorHAnsi"/>
        </w:rPr>
        <w:t>recruited learners who need</w:t>
      </w:r>
      <w:r w:rsidR="00BC5794" w:rsidRPr="002E0C57">
        <w:rPr>
          <w:rFonts w:cstheme="minorHAnsi"/>
        </w:rPr>
        <w:t>ed</w:t>
      </w:r>
      <w:r w:rsidR="00A77140" w:rsidRPr="002E0C57">
        <w:rPr>
          <w:rFonts w:cstheme="minorHAnsi"/>
        </w:rPr>
        <w:t xml:space="preserve"> extra support before enrolling in college level classes</w:t>
      </w:r>
      <w:r w:rsidR="00EA2261">
        <w:rPr>
          <w:rFonts w:cstheme="minorHAnsi"/>
        </w:rPr>
        <w:t>. T</w:t>
      </w:r>
      <w:r w:rsidR="00A77140" w:rsidRPr="002E0C57">
        <w:rPr>
          <w:rFonts w:cstheme="minorHAnsi"/>
        </w:rPr>
        <w:t xml:space="preserve">he local </w:t>
      </w:r>
      <w:r w:rsidR="001B48C2" w:rsidRPr="002E0C57">
        <w:rPr>
          <w:rFonts w:cstheme="minorHAnsi"/>
        </w:rPr>
        <w:t xml:space="preserve">adult education programs </w:t>
      </w:r>
      <w:r w:rsidR="00A77140" w:rsidRPr="002E0C57">
        <w:rPr>
          <w:rFonts w:cstheme="minorHAnsi"/>
        </w:rPr>
        <w:t xml:space="preserve">provided instruction in English, mathematics and academic success skills. </w:t>
      </w:r>
      <w:r w:rsidR="00E17B63" w:rsidRPr="002E0C57">
        <w:rPr>
          <w:rFonts w:cstheme="minorHAnsi"/>
        </w:rPr>
        <w:t>Right when the pandemic hit the Community College System office reached out to adult education to</w:t>
      </w:r>
      <w:r w:rsidR="002E6854" w:rsidRPr="002E0C57">
        <w:rPr>
          <w:rFonts w:cstheme="minorHAnsi"/>
        </w:rPr>
        <w:t xml:space="preserve"> contract with our providers to deliver </w:t>
      </w:r>
      <w:r w:rsidR="000C7AAD">
        <w:rPr>
          <w:rFonts w:cstheme="minorHAnsi"/>
        </w:rPr>
        <w:t xml:space="preserve">remote </w:t>
      </w:r>
      <w:r w:rsidR="002E6854" w:rsidRPr="002E0C57">
        <w:rPr>
          <w:rFonts w:cstheme="minorHAnsi"/>
        </w:rPr>
        <w:t>CNA courses</w:t>
      </w:r>
      <w:r w:rsidR="004A656A">
        <w:rPr>
          <w:rFonts w:cstheme="minorHAnsi"/>
        </w:rPr>
        <w:t>.</w:t>
      </w:r>
    </w:p>
    <w:p w14:paraId="283D831F" w14:textId="3F630C40" w:rsidR="00126B73" w:rsidRPr="002E0C57" w:rsidRDefault="000B56C4" w:rsidP="00627724">
      <w:pPr>
        <w:rPr>
          <w:rFonts w:cstheme="minorHAnsi"/>
        </w:rPr>
      </w:pPr>
      <w:r w:rsidRPr="002E0C57">
        <w:rPr>
          <w:rFonts w:cstheme="minorHAnsi"/>
        </w:rPr>
        <w:t>We also work</w:t>
      </w:r>
      <w:r w:rsidR="004A656A">
        <w:rPr>
          <w:rFonts w:cstheme="minorHAnsi"/>
        </w:rPr>
        <w:t>ed</w:t>
      </w:r>
      <w:r w:rsidRPr="002E0C57">
        <w:rPr>
          <w:rFonts w:cstheme="minorHAnsi"/>
        </w:rPr>
        <w:t xml:space="preserve"> with the university system to pilot IT micro-credentials for adults with</w:t>
      </w:r>
      <w:r w:rsidR="008A772B">
        <w:rPr>
          <w:rFonts w:cstheme="minorHAnsi"/>
        </w:rPr>
        <w:t xml:space="preserve"> low-incomes, members of Maine’s tribes and </w:t>
      </w:r>
      <w:r w:rsidR="00663DF1">
        <w:rPr>
          <w:rFonts w:cstheme="minorHAnsi"/>
        </w:rPr>
        <w:t>people of color.</w:t>
      </w:r>
      <w:r w:rsidR="008A772B">
        <w:rPr>
          <w:rFonts w:cstheme="minorHAnsi"/>
        </w:rPr>
        <w:t xml:space="preserve"> </w:t>
      </w:r>
      <w:r w:rsidR="00EC6362" w:rsidRPr="002E0C57">
        <w:rPr>
          <w:rFonts w:cstheme="minorHAnsi"/>
        </w:rPr>
        <w:t>These pilots benefitted our learners and provided evidence of the role adult education can play in the development</w:t>
      </w:r>
      <w:r w:rsidR="00C03B10" w:rsidRPr="002E0C57">
        <w:rPr>
          <w:rFonts w:cstheme="minorHAnsi"/>
        </w:rPr>
        <w:t xml:space="preserve"> </w:t>
      </w:r>
      <w:r w:rsidR="007A3294" w:rsidRPr="002E0C57">
        <w:rPr>
          <w:rFonts w:cstheme="minorHAnsi"/>
        </w:rPr>
        <w:t xml:space="preserve">of </w:t>
      </w:r>
      <w:r w:rsidR="00C03B10" w:rsidRPr="002E0C57">
        <w:rPr>
          <w:rFonts w:cstheme="minorHAnsi"/>
        </w:rPr>
        <w:t>micro-credentials a</w:t>
      </w:r>
      <w:r w:rsidR="00165894">
        <w:rPr>
          <w:rFonts w:cstheme="minorHAnsi"/>
        </w:rPr>
        <w:t>s</w:t>
      </w:r>
      <w:r w:rsidR="00C03B10" w:rsidRPr="002E0C57">
        <w:rPr>
          <w:rFonts w:cstheme="minorHAnsi"/>
        </w:rPr>
        <w:t xml:space="preserve"> pathways to postsecondary and employment.</w:t>
      </w:r>
    </w:p>
    <w:p w14:paraId="24F96EF4" w14:textId="49BF888A" w:rsidR="000B7ECD" w:rsidRPr="002E0C57" w:rsidRDefault="005544DA" w:rsidP="001E21C4">
      <w:pPr>
        <w:rPr>
          <w:rFonts w:cstheme="minorHAnsi"/>
          <w:b/>
          <w:bCs/>
          <w:i/>
          <w:iCs/>
        </w:rPr>
      </w:pPr>
      <w:r w:rsidRPr="002E0C57">
        <w:rPr>
          <w:rFonts w:cstheme="minorHAnsi"/>
          <w:b/>
          <w:bCs/>
          <w:i/>
          <w:iCs/>
        </w:rPr>
        <w:t>ii. Establishment or operation of high-quality development programs as described in section 223(a)(1)(B).</w:t>
      </w:r>
    </w:p>
    <w:p w14:paraId="2EF5FEC1" w14:textId="2859E216" w:rsidR="00C51F15" w:rsidRPr="002E0C57" w:rsidRDefault="00F46C02" w:rsidP="001E21C4">
      <w:pPr>
        <w:rPr>
          <w:rFonts w:cstheme="minorHAnsi"/>
        </w:rPr>
      </w:pPr>
      <w:r w:rsidRPr="002E0C57">
        <w:rPr>
          <w:rFonts w:cstheme="minorHAnsi"/>
        </w:rPr>
        <w:t>T</w:t>
      </w:r>
      <w:r w:rsidR="00805A70" w:rsidRPr="002E0C57">
        <w:rPr>
          <w:rFonts w:cstheme="minorHAnsi"/>
        </w:rPr>
        <w:t xml:space="preserve">he </w:t>
      </w:r>
      <w:r w:rsidR="0070144A">
        <w:rPr>
          <w:rFonts w:cstheme="minorHAnsi"/>
        </w:rPr>
        <w:t>s</w:t>
      </w:r>
      <w:r w:rsidR="00805A70" w:rsidRPr="002E0C57">
        <w:rPr>
          <w:rFonts w:cstheme="minorHAnsi"/>
        </w:rPr>
        <w:t xml:space="preserve">tate </w:t>
      </w:r>
      <w:r w:rsidR="0070144A">
        <w:rPr>
          <w:rFonts w:cstheme="minorHAnsi"/>
        </w:rPr>
        <w:t>o</w:t>
      </w:r>
      <w:r w:rsidR="00805A70" w:rsidRPr="002E0C57">
        <w:rPr>
          <w:rFonts w:cstheme="minorHAnsi"/>
        </w:rPr>
        <w:t>ffice’s goal</w:t>
      </w:r>
      <w:r w:rsidRPr="002E0C57">
        <w:rPr>
          <w:rFonts w:cstheme="minorHAnsi"/>
        </w:rPr>
        <w:t>s</w:t>
      </w:r>
      <w:r w:rsidR="00805A70" w:rsidRPr="002E0C57">
        <w:rPr>
          <w:rFonts w:cstheme="minorHAnsi"/>
        </w:rPr>
        <w:t xml:space="preserve"> for </w:t>
      </w:r>
      <w:r w:rsidR="00E77030" w:rsidRPr="002E0C57">
        <w:rPr>
          <w:rFonts w:cstheme="minorHAnsi"/>
        </w:rPr>
        <w:t xml:space="preserve">the </w:t>
      </w:r>
      <w:r w:rsidR="00C13626" w:rsidRPr="002E0C57">
        <w:rPr>
          <w:rFonts w:cstheme="minorHAnsi"/>
        </w:rPr>
        <w:t>professional development</w:t>
      </w:r>
      <w:r w:rsidR="00E77030" w:rsidRPr="002E0C57">
        <w:rPr>
          <w:rFonts w:cstheme="minorHAnsi"/>
        </w:rPr>
        <w:t xml:space="preserve"> system</w:t>
      </w:r>
      <w:r w:rsidRPr="002E0C57">
        <w:rPr>
          <w:rFonts w:cstheme="minorHAnsi"/>
        </w:rPr>
        <w:t xml:space="preserve"> in </w:t>
      </w:r>
      <w:r w:rsidR="00255906">
        <w:rPr>
          <w:rFonts w:cstheme="minorHAnsi"/>
        </w:rPr>
        <w:t xml:space="preserve">PY19 </w:t>
      </w:r>
      <w:r w:rsidR="00C13626" w:rsidRPr="002E0C57">
        <w:rPr>
          <w:rFonts w:cstheme="minorHAnsi"/>
        </w:rPr>
        <w:t>w</w:t>
      </w:r>
      <w:r w:rsidRPr="002E0C57">
        <w:rPr>
          <w:rFonts w:cstheme="minorHAnsi"/>
        </w:rPr>
        <w:t>ere</w:t>
      </w:r>
      <w:r w:rsidR="00C13626" w:rsidRPr="002E0C57">
        <w:rPr>
          <w:rFonts w:cstheme="minorHAnsi"/>
        </w:rPr>
        <w:t xml:space="preserve"> to increase the input</w:t>
      </w:r>
      <w:r w:rsidR="00135140" w:rsidRPr="002E0C57">
        <w:rPr>
          <w:rFonts w:cstheme="minorHAnsi"/>
        </w:rPr>
        <w:t xml:space="preserve"> of the field into professional development needs</w:t>
      </w:r>
      <w:r w:rsidR="00494FFF" w:rsidRPr="002E0C57">
        <w:rPr>
          <w:rFonts w:cstheme="minorHAnsi"/>
        </w:rPr>
        <w:t xml:space="preserve">, increase </w:t>
      </w:r>
      <w:r w:rsidR="00746D39" w:rsidRPr="002E0C57">
        <w:rPr>
          <w:rFonts w:cstheme="minorHAnsi"/>
        </w:rPr>
        <w:t xml:space="preserve">technical assistance related to distance learning </w:t>
      </w:r>
      <w:r w:rsidR="00135140" w:rsidRPr="002E0C57">
        <w:rPr>
          <w:rFonts w:cstheme="minorHAnsi"/>
        </w:rPr>
        <w:t xml:space="preserve">and digital literacy, </w:t>
      </w:r>
      <w:r w:rsidR="00A11A11" w:rsidRPr="002E0C57">
        <w:rPr>
          <w:rFonts w:cstheme="minorHAnsi"/>
        </w:rPr>
        <w:t xml:space="preserve">and </w:t>
      </w:r>
      <w:r w:rsidR="009D6739" w:rsidRPr="002E0C57">
        <w:rPr>
          <w:rFonts w:cstheme="minorHAnsi"/>
        </w:rPr>
        <w:t xml:space="preserve">continue to deliver high-quality </w:t>
      </w:r>
      <w:r w:rsidRPr="002E0C57">
        <w:rPr>
          <w:rFonts w:cstheme="minorHAnsi"/>
        </w:rPr>
        <w:t xml:space="preserve">PD </w:t>
      </w:r>
      <w:r w:rsidR="009D6739" w:rsidRPr="002E0C57">
        <w:rPr>
          <w:rFonts w:cstheme="minorHAnsi"/>
        </w:rPr>
        <w:t xml:space="preserve">opportunities that improve </w:t>
      </w:r>
      <w:r w:rsidRPr="002E0C57">
        <w:rPr>
          <w:rFonts w:cstheme="minorHAnsi"/>
        </w:rPr>
        <w:t xml:space="preserve">adult education </w:t>
      </w:r>
      <w:r w:rsidR="007F3BEA" w:rsidRPr="002E0C57">
        <w:rPr>
          <w:rFonts w:cstheme="minorHAnsi"/>
        </w:rPr>
        <w:t xml:space="preserve">services for learners. </w:t>
      </w:r>
      <w:r w:rsidR="00627148" w:rsidRPr="002E0C57">
        <w:rPr>
          <w:rFonts w:cstheme="minorHAnsi"/>
        </w:rPr>
        <w:t>Even with the rapidly changing climate of the pandemic, we were able to meet these goals</w:t>
      </w:r>
      <w:r w:rsidR="00E4613B" w:rsidRPr="002E0C57">
        <w:rPr>
          <w:rFonts w:cstheme="minorHAnsi"/>
        </w:rPr>
        <w:t xml:space="preserve"> because of the structures we had in place before March.</w:t>
      </w:r>
    </w:p>
    <w:p w14:paraId="6619D4B9" w14:textId="2B238784" w:rsidR="00E4613B" w:rsidRPr="002E0C57" w:rsidRDefault="00D14796" w:rsidP="001E21C4">
      <w:pPr>
        <w:rPr>
          <w:rFonts w:cstheme="minorHAnsi"/>
        </w:rPr>
      </w:pPr>
      <w:r w:rsidRPr="002E0C57">
        <w:rPr>
          <w:rFonts w:cstheme="minorHAnsi"/>
        </w:rPr>
        <w:lastRenderedPageBreak/>
        <w:t xml:space="preserve">In </w:t>
      </w:r>
      <w:r w:rsidR="00E16793">
        <w:rPr>
          <w:rFonts w:cstheme="minorHAnsi"/>
        </w:rPr>
        <w:t>PY 19</w:t>
      </w:r>
      <w:r w:rsidRPr="002E0C57">
        <w:rPr>
          <w:rFonts w:cstheme="minorHAnsi"/>
        </w:rPr>
        <w:t>, we convened a new statewide professional development advisory committee</w:t>
      </w:r>
      <w:r w:rsidR="004A3AFA" w:rsidRPr="002E0C57">
        <w:rPr>
          <w:rFonts w:cstheme="minorHAnsi"/>
        </w:rPr>
        <w:t xml:space="preserve"> made up of administrators, teachers, advisors, and support staff who represent </w:t>
      </w:r>
      <w:r w:rsidR="003E448A" w:rsidRPr="002E0C57">
        <w:rPr>
          <w:rFonts w:cstheme="minorHAnsi"/>
        </w:rPr>
        <w:t>a diversity of programs (i.e. rural vs. urban, small vs. large, student population</w:t>
      </w:r>
      <w:r w:rsidR="00CF5F4A" w:rsidRPr="002E0C57">
        <w:rPr>
          <w:rFonts w:cstheme="minorHAnsi"/>
        </w:rPr>
        <w:t xml:space="preserve"> size and makeup</w:t>
      </w:r>
      <w:r w:rsidR="003E448A" w:rsidRPr="002E0C57">
        <w:rPr>
          <w:rFonts w:cstheme="minorHAnsi"/>
        </w:rPr>
        <w:t>, etc.)</w:t>
      </w:r>
      <w:r w:rsidR="00B66FB6" w:rsidRPr="002E0C57">
        <w:rPr>
          <w:rFonts w:cstheme="minorHAnsi"/>
        </w:rPr>
        <w:t xml:space="preserve">. </w:t>
      </w:r>
      <w:r w:rsidR="0085539F" w:rsidRPr="002E0C57">
        <w:rPr>
          <w:rFonts w:cstheme="minorHAnsi"/>
        </w:rPr>
        <w:t xml:space="preserve">Informed by the requirements of section 223 and using </w:t>
      </w:r>
      <w:r w:rsidR="001F13E5" w:rsidRPr="002E0C57">
        <w:rPr>
          <w:rFonts w:cstheme="minorHAnsi"/>
        </w:rPr>
        <w:t>program responses to federal and state grants, c</w:t>
      </w:r>
      <w:r w:rsidR="00B66FB6" w:rsidRPr="002E0C57">
        <w:rPr>
          <w:rFonts w:cstheme="minorHAnsi"/>
        </w:rPr>
        <w:t>ommittee member</w:t>
      </w:r>
      <w:r w:rsidR="00B0485E" w:rsidRPr="002E0C57">
        <w:rPr>
          <w:rFonts w:cstheme="minorHAnsi"/>
        </w:rPr>
        <w:t xml:space="preserve">s developed a comprehensive professional development questionnaire that was distributed to the field </w:t>
      </w:r>
      <w:r w:rsidR="001F13E5" w:rsidRPr="002E0C57">
        <w:rPr>
          <w:rFonts w:cstheme="minorHAnsi"/>
        </w:rPr>
        <w:t>in February</w:t>
      </w:r>
      <w:r w:rsidR="00BC10FD" w:rsidRPr="002E0C57">
        <w:rPr>
          <w:rFonts w:cstheme="minorHAnsi"/>
        </w:rPr>
        <w:t xml:space="preserve"> 2020. </w:t>
      </w:r>
      <w:r w:rsidR="008F7E53" w:rsidRPr="002E0C57">
        <w:rPr>
          <w:rFonts w:cstheme="minorHAnsi"/>
        </w:rPr>
        <w:t xml:space="preserve">The results determined the priorities for professional development for the rest of </w:t>
      </w:r>
      <w:r w:rsidR="0056042A">
        <w:rPr>
          <w:rFonts w:cstheme="minorHAnsi"/>
        </w:rPr>
        <w:t>PY 19 and PY 20</w:t>
      </w:r>
      <w:r w:rsidR="008F7E53" w:rsidRPr="002E0C57">
        <w:rPr>
          <w:rFonts w:cstheme="minorHAnsi"/>
        </w:rPr>
        <w:t>20</w:t>
      </w:r>
      <w:r w:rsidR="00C92663" w:rsidRPr="002E0C57">
        <w:rPr>
          <w:rFonts w:cstheme="minorHAnsi"/>
        </w:rPr>
        <w:t xml:space="preserve">, including working with learners with disabilities, </w:t>
      </w:r>
      <w:r w:rsidR="00C9213E" w:rsidRPr="002E0C57">
        <w:rPr>
          <w:rFonts w:cstheme="minorHAnsi"/>
        </w:rPr>
        <w:t>integr</w:t>
      </w:r>
      <w:r w:rsidR="00B24F29" w:rsidRPr="002E0C57">
        <w:rPr>
          <w:rFonts w:cstheme="minorHAnsi"/>
        </w:rPr>
        <w:t xml:space="preserve">ating technology in teaching and learning, and </w:t>
      </w:r>
      <w:r w:rsidR="00616C4E" w:rsidRPr="002E0C57">
        <w:rPr>
          <w:rFonts w:cstheme="minorHAnsi"/>
        </w:rPr>
        <w:t xml:space="preserve">improving content area teaching using </w:t>
      </w:r>
      <w:r w:rsidR="00B24F29" w:rsidRPr="002E0C57">
        <w:rPr>
          <w:rFonts w:cstheme="minorHAnsi"/>
        </w:rPr>
        <w:t xml:space="preserve">evidence-based </w:t>
      </w:r>
      <w:r w:rsidR="00357A75" w:rsidRPr="002E0C57">
        <w:rPr>
          <w:rFonts w:cstheme="minorHAnsi"/>
        </w:rPr>
        <w:t>instructional strategies</w:t>
      </w:r>
      <w:r w:rsidR="00E21ED4" w:rsidRPr="002E0C57">
        <w:rPr>
          <w:rFonts w:cstheme="minorHAnsi"/>
        </w:rPr>
        <w:t xml:space="preserve"> </w:t>
      </w:r>
      <w:r w:rsidR="006D524F" w:rsidRPr="002E0C57">
        <w:rPr>
          <w:rFonts w:cstheme="minorHAnsi"/>
        </w:rPr>
        <w:t>aligned</w:t>
      </w:r>
      <w:r w:rsidR="00E21ED4" w:rsidRPr="002E0C57">
        <w:rPr>
          <w:rFonts w:cstheme="minorHAnsi"/>
        </w:rPr>
        <w:t xml:space="preserve"> with the College and Career Readiness Standards for Adult Education. </w:t>
      </w:r>
    </w:p>
    <w:p w14:paraId="11DDE077" w14:textId="5D56597C" w:rsidR="00C45091" w:rsidRPr="002E0C57" w:rsidRDefault="00795909" w:rsidP="001E21C4">
      <w:pPr>
        <w:rPr>
          <w:rFonts w:cstheme="minorHAnsi"/>
        </w:rPr>
      </w:pPr>
      <w:r w:rsidRPr="002E0C57">
        <w:rPr>
          <w:rFonts w:cstheme="minorHAnsi"/>
        </w:rPr>
        <w:t>Due to the geographical and logistical challenges</w:t>
      </w:r>
      <w:r w:rsidR="00366E6C">
        <w:rPr>
          <w:rFonts w:cstheme="minorHAnsi"/>
        </w:rPr>
        <w:t xml:space="preserve"> </w:t>
      </w:r>
      <w:r w:rsidR="006B479C" w:rsidRPr="002E0C57">
        <w:rPr>
          <w:rFonts w:cstheme="minorHAnsi"/>
        </w:rPr>
        <w:t>local providers</w:t>
      </w:r>
      <w:r w:rsidR="00E75BE7" w:rsidRPr="002E0C57">
        <w:rPr>
          <w:rFonts w:cstheme="minorHAnsi"/>
        </w:rPr>
        <w:t xml:space="preserve"> face</w:t>
      </w:r>
      <w:r w:rsidR="006B479C" w:rsidRPr="002E0C57">
        <w:rPr>
          <w:rFonts w:cstheme="minorHAnsi"/>
        </w:rPr>
        <w:t xml:space="preserve"> in </w:t>
      </w:r>
      <w:r w:rsidR="00AE1FF3" w:rsidRPr="002E0C57">
        <w:rPr>
          <w:rFonts w:cstheme="minorHAnsi"/>
        </w:rPr>
        <w:t>largely rural Maine</w:t>
      </w:r>
      <w:r w:rsidR="00A05949" w:rsidRPr="002E0C57">
        <w:rPr>
          <w:rFonts w:cstheme="minorHAnsi"/>
        </w:rPr>
        <w:t xml:space="preserve"> and the primarily part-time staff</w:t>
      </w:r>
      <w:r w:rsidR="009B3D05" w:rsidRPr="002E0C57">
        <w:rPr>
          <w:rFonts w:cstheme="minorHAnsi"/>
        </w:rPr>
        <w:t xml:space="preserve">, the </w:t>
      </w:r>
      <w:r w:rsidR="0070144A">
        <w:rPr>
          <w:rFonts w:cstheme="minorHAnsi"/>
        </w:rPr>
        <w:t>s</w:t>
      </w:r>
      <w:r w:rsidR="009B3D05" w:rsidRPr="002E0C57">
        <w:rPr>
          <w:rFonts w:cstheme="minorHAnsi"/>
        </w:rPr>
        <w:t xml:space="preserve">tate </w:t>
      </w:r>
      <w:r w:rsidR="0070144A">
        <w:rPr>
          <w:rFonts w:cstheme="minorHAnsi"/>
        </w:rPr>
        <w:t>o</w:t>
      </w:r>
      <w:r w:rsidR="009B3D05" w:rsidRPr="002E0C57">
        <w:rPr>
          <w:rFonts w:cstheme="minorHAnsi"/>
        </w:rPr>
        <w:t xml:space="preserve">ffice </w:t>
      </w:r>
      <w:r w:rsidR="009400D3" w:rsidRPr="002E0C57">
        <w:rPr>
          <w:rFonts w:cstheme="minorHAnsi"/>
        </w:rPr>
        <w:t>had already developed a system for delivering</w:t>
      </w:r>
      <w:r w:rsidR="00A05949" w:rsidRPr="002E0C57">
        <w:rPr>
          <w:rFonts w:cstheme="minorHAnsi"/>
        </w:rPr>
        <w:t xml:space="preserve"> professional development virtually.</w:t>
      </w:r>
      <w:r w:rsidR="00B04457" w:rsidRPr="002E0C57">
        <w:rPr>
          <w:rFonts w:cstheme="minorHAnsi"/>
        </w:rPr>
        <w:t xml:space="preserve"> </w:t>
      </w:r>
      <w:r w:rsidR="00375445" w:rsidRPr="002E0C57">
        <w:rPr>
          <w:rFonts w:cstheme="minorHAnsi"/>
        </w:rPr>
        <w:t>Most professional development focused on improvi</w:t>
      </w:r>
      <w:r w:rsidR="001509D7" w:rsidRPr="002E0C57">
        <w:rPr>
          <w:rFonts w:cstheme="minorHAnsi"/>
        </w:rPr>
        <w:t xml:space="preserve">ng instructional strategies, including </w:t>
      </w:r>
      <w:r w:rsidR="00220BBF" w:rsidRPr="002E0C57">
        <w:rPr>
          <w:rFonts w:cstheme="minorHAnsi"/>
        </w:rPr>
        <w:t xml:space="preserve">Reading Apprenticeship, learner accessibility, </w:t>
      </w:r>
      <w:r w:rsidR="00462C35" w:rsidRPr="002E0C57">
        <w:rPr>
          <w:rFonts w:cstheme="minorHAnsi"/>
        </w:rPr>
        <w:t xml:space="preserve">courses in </w:t>
      </w:r>
      <w:r w:rsidR="00305EB3" w:rsidRPr="002E0C57">
        <w:rPr>
          <w:rFonts w:cstheme="minorHAnsi"/>
        </w:rPr>
        <w:t>career and education advising,</w:t>
      </w:r>
      <w:r w:rsidR="00211109" w:rsidRPr="002E0C57">
        <w:rPr>
          <w:rFonts w:cstheme="minorHAnsi"/>
        </w:rPr>
        <w:t xml:space="preserve"> CCRS-SIA trainings,</w:t>
      </w:r>
      <w:r w:rsidR="00305EB3" w:rsidRPr="002E0C57">
        <w:rPr>
          <w:rFonts w:cstheme="minorHAnsi"/>
        </w:rPr>
        <w:t xml:space="preserve"> and courses for integrating mathematics into English</w:t>
      </w:r>
      <w:r w:rsidR="00211109" w:rsidRPr="002E0C57">
        <w:rPr>
          <w:rFonts w:cstheme="minorHAnsi"/>
        </w:rPr>
        <w:t xml:space="preserve"> language learning, occur</w:t>
      </w:r>
      <w:r w:rsidR="001829E2">
        <w:rPr>
          <w:rFonts w:cstheme="minorHAnsi"/>
        </w:rPr>
        <w:t>ed</w:t>
      </w:r>
      <w:r w:rsidR="00211109" w:rsidRPr="002E0C57">
        <w:rPr>
          <w:rFonts w:cstheme="minorHAnsi"/>
        </w:rPr>
        <w:t xml:space="preserve"> through facilitated or self-pace</w:t>
      </w:r>
      <w:r w:rsidR="00733D78" w:rsidRPr="002E0C57">
        <w:rPr>
          <w:rFonts w:cstheme="minorHAnsi"/>
        </w:rPr>
        <w:t>d courses on Schoolog</w:t>
      </w:r>
      <w:r w:rsidR="00535E41" w:rsidRPr="002E0C57">
        <w:rPr>
          <w:rFonts w:cstheme="minorHAnsi"/>
        </w:rPr>
        <w:t>y or through Zoom.</w:t>
      </w:r>
      <w:r w:rsidR="00A05949" w:rsidRPr="002E0C57">
        <w:rPr>
          <w:rFonts w:cstheme="minorHAnsi"/>
        </w:rPr>
        <w:t xml:space="preserve"> </w:t>
      </w:r>
      <w:r w:rsidR="001515D0" w:rsidRPr="002E0C57">
        <w:rPr>
          <w:rFonts w:cstheme="minorHAnsi"/>
        </w:rPr>
        <w:t xml:space="preserve">This </w:t>
      </w:r>
      <w:r w:rsidR="00C47EBB" w:rsidRPr="002E0C57">
        <w:rPr>
          <w:rFonts w:cstheme="minorHAnsi"/>
        </w:rPr>
        <w:t>approach</w:t>
      </w:r>
      <w:r w:rsidR="00CA1AA3" w:rsidRPr="002E0C57">
        <w:rPr>
          <w:rFonts w:cstheme="minorHAnsi"/>
        </w:rPr>
        <w:t xml:space="preserve"> enabled t</w:t>
      </w:r>
      <w:r w:rsidR="005E06CD" w:rsidRPr="002E0C57">
        <w:rPr>
          <w:rFonts w:cstheme="minorHAnsi"/>
        </w:rPr>
        <w:t xml:space="preserve">he </w:t>
      </w:r>
      <w:r w:rsidR="00DC7781">
        <w:rPr>
          <w:rFonts w:cstheme="minorHAnsi"/>
        </w:rPr>
        <w:t>s</w:t>
      </w:r>
      <w:r w:rsidR="005E06CD" w:rsidRPr="002E0C57">
        <w:rPr>
          <w:rFonts w:cstheme="minorHAnsi"/>
        </w:rPr>
        <w:t xml:space="preserve">tate </w:t>
      </w:r>
      <w:r w:rsidR="00DC7781">
        <w:rPr>
          <w:rFonts w:cstheme="minorHAnsi"/>
        </w:rPr>
        <w:t>o</w:t>
      </w:r>
      <w:r w:rsidR="005E06CD" w:rsidRPr="002E0C57">
        <w:rPr>
          <w:rFonts w:cstheme="minorHAnsi"/>
        </w:rPr>
        <w:t xml:space="preserve">ffice to offer courses as scheduled for the </w:t>
      </w:r>
      <w:r w:rsidR="00CA1AA3" w:rsidRPr="002E0C57">
        <w:rPr>
          <w:rFonts w:cstheme="minorHAnsi"/>
        </w:rPr>
        <w:t xml:space="preserve">fall, </w:t>
      </w:r>
      <w:r w:rsidR="005E06CD" w:rsidRPr="002E0C57">
        <w:rPr>
          <w:rFonts w:cstheme="minorHAnsi"/>
        </w:rPr>
        <w:t>late winter and spring</w:t>
      </w:r>
      <w:r w:rsidR="00C47EBB" w:rsidRPr="002E0C57">
        <w:rPr>
          <w:rFonts w:cstheme="minorHAnsi"/>
        </w:rPr>
        <w:t xml:space="preserve">. </w:t>
      </w:r>
      <w:r w:rsidR="00B4634B" w:rsidRPr="002E0C57">
        <w:rPr>
          <w:rFonts w:cstheme="minorHAnsi"/>
        </w:rPr>
        <w:t>The familiarity of most instructors</w:t>
      </w:r>
      <w:r w:rsidR="00100CC5" w:rsidRPr="002E0C57">
        <w:rPr>
          <w:rFonts w:cstheme="minorHAnsi"/>
        </w:rPr>
        <w:t xml:space="preserve"> with </w:t>
      </w:r>
      <w:r w:rsidR="00B4634B" w:rsidRPr="002E0C57">
        <w:rPr>
          <w:rFonts w:cstheme="minorHAnsi"/>
        </w:rPr>
        <w:t>receiving professional development remotely was an asset when the pandemic</w:t>
      </w:r>
      <w:r w:rsidR="00100CC5" w:rsidRPr="002E0C57">
        <w:rPr>
          <w:rFonts w:cstheme="minorHAnsi"/>
        </w:rPr>
        <w:t xml:space="preserve"> curtailed any face-to-face meetings. </w:t>
      </w:r>
      <w:r w:rsidR="00BC3E47" w:rsidRPr="002E0C57">
        <w:rPr>
          <w:rFonts w:cstheme="minorHAnsi"/>
        </w:rPr>
        <w:t>T</w:t>
      </w:r>
      <w:r w:rsidR="002A19EB" w:rsidRPr="002E0C57">
        <w:rPr>
          <w:rFonts w:cstheme="minorHAnsi"/>
        </w:rPr>
        <w:t>o meet the fields’ needs</w:t>
      </w:r>
      <w:r w:rsidR="000E7723" w:rsidRPr="002E0C57">
        <w:rPr>
          <w:rFonts w:cstheme="minorHAnsi"/>
        </w:rPr>
        <w:t xml:space="preserve"> and increased demand for professional development</w:t>
      </w:r>
      <w:r w:rsidR="00BC3E47" w:rsidRPr="002E0C57">
        <w:rPr>
          <w:rFonts w:cstheme="minorHAnsi"/>
        </w:rPr>
        <w:t xml:space="preserve">, additional sections of courses were </w:t>
      </w:r>
      <w:r w:rsidR="00284DAD" w:rsidRPr="002E0C57">
        <w:rPr>
          <w:rFonts w:cstheme="minorHAnsi"/>
        </w:rPr>
        <w:t>offered.</w:t>
      </w:r>
    </w:p>
    <w:p w14:paraId="3CD0F557" w14:textId="6E36743A" w:rsidR="008E504C" w:rsidRPr="002E0C57" w:rsidRDefault="009B33BA" w:rsidP="001E21C4">
      <w:pPr>
        <w:rPr>
          <w:rFonts w:cstheme="minorHAnsi"/>
        </w:rPr>
      </w:pPr>
      <w:r w:rsidRPr="002E0C57">
        <w:rPr>
          <w:rFonts w:cstheme="minorHAnsi"/>
        </w:rPr>
        <w:t>T</w:t>
      </w:r>
      <w:r w:rsidR="0068787B" w:rsidRPr="002E0C57">
        <w:rPr>
          <w:rFonts w:cstheme="minorHAnsi"/>
        </w:rPr>
        <w:t xml:space="preserve">rainings typically offered in-person, </w:t>
      </w:r>
      <w:r w:rsidR="003162C2">
        <w:rPr>
          <w:rFonts w:cstheme="minorHAnsi"/>
        </w:rPr>
        <w:t xml:space="preserve">and </w:t>
      </w:r>
      <w:r w:rsidR="0068787B" w:rsidRPr="002E0C57">
        <w:rPr>
          <w:rFonts w:cstheme="minorHAnsi"/>
        </w:rPr>
        <w:t xml:space="preserve">often regionally, </w:t>
      </w:r>
      <w:r w:rsidR="00A26AF4" w:rsidRPr="002E0C57">
        <w:rPr>
          <w:rFonts w:cstheme="minorHAnsi"/>
        </w:rPr>
        <w:t>were moved to Zoom which allowed greater participation</w:t>
      </w:r>
      <w:r w:rsidR="00DF17D0" w:rsidRPr="002E0C57">
        <w:rPr>
          <w:rFonts w:cstheme="minorHAnsi"/>
        </w:rPr>
        <w:t xml:space="preserve"> from across the state</w:t>
      </w:r>
      <w:r w:rsidR="00A26AF4" w:rsidRPr="002E0C57">
        <w:rPr>
          <w:rFonts w:cstheme="minorHAnsi"/>
        </w:rPr>
        <w:t xml:space="preserve">. </w:t>
      </w:r>
      <w:r w:rsidR="00F52773" w:rsidRPr="002E0C57">
        <w:rPr>
          <w:rFonts w:cstheme="minorHAnsi"/>
        </w:rPr>
        <w:t xml:space="preserve">The </w:t>
      </w:r>
      <w:r w:rsidR="003162C2">
        <w:rPr>
          <w:rFonts w:cstheme="minorHAnsi"/>
        </w:rPr>
        <w:t>s</w:t>
      </w:r>
      <w:r w:rsidR="00F52773" w:rsidRPr="002E0C57">
        <w:rPr>
          <w:rFonts w:cstheme="minorHAnsi"/>
        </w:rPr>
        <w:t xml:space="preserve">tate </w:t>
      </w:r>
      <w:r w:rsidR="003162C2">
        <w:rPr>
          <w:rFonts w:cstheme="minorHAnsi"/>
        </w:rPr>
        <w:t>o</w:t>
      </w:r>
      <w:r w:rsidR="00F52773" w:rsidRPr="002E0C57">
        <w:rPr>
          <w:rFonts w:cstheme="minorHAnsi"/>
        </w:rPr>
        <w:t>ffice adapted the CASAS implementation trainings, HiSET Test Center Administrator training</w:t>
      </w:r>
      <w:r w:rsidR="007148B3" w:rsidRPr="002E0C57">
        <w:rPr>
          <w:rFonts w:cstheme="minorHAnsi"/>
        </w:rPr>
        <w:t xml:space="preserve"> and </w:t>
      </w:r>
      <w:r w:rsidR="00F52773" w:rsidRPr="002E0C57">
        <w:rPr>
          <w:rFonts w:cstheme="minorHAnsi"/>
        </w:rPr>
        <w:t xml:space="preserve">the Introduction to the English Language Proficiency </w:t>
      </w:r>
      <w:r w:rsidR="00462C35" w:rsidRPr="002E0C57">
        <w:rPr>
          <w:rFonts w:cstheme="minorHAnsi"/>
        </w:rPr>
        <w:t xml:space="preserve">Standards to be delivered remotely. </w:t>
      </w:r>
      <w:r w:rsidR="00DF17D0" w:rsidRPr="002E0C57">
        <w:rPr>
          <w:rFonts w:cstheme="minorHAnsi"/>
        </w:rPr>
        <w:t>A</w:t>
      </w:r>
      <w:r w:rsidR="00FF0D1C" w:rsidRPr="002E0C57">
        <w:rPr>
          <w:rFonts w:cstheme="minorHAnsi"/>
        </w:rPr>
        <w:t xml:space="preserve"> training on best practices for intake and data originally scheduled </w:t>
      </w:r>
      <w:r w:rsidR="00A546B8" w:rsidRPr="002E0C57">
        <w:rPr>
          <w:rFonts w:cstheme="minorHAnsi"/>
        </w:rPr>
        <w:t xml:space="preserve">to be in-person for 25 </w:t>
      </w:r>
      <w:r w:rsidR="004815F2" w:rsidRPr="002E0C57">
        <w:rPr>
          <w:rFonts w:cstheme="minorHAnsi"/>
        </w:rPr>
        <w:t xml:space="preserve">attendees </w:t>
      </w:r>
      <w:r w:rsidR="00A546B8" w:rsidRPr="002E0C57">
        <w:rPr>
          <w:rFonts w:cstheme="minorHAnsi"/>
        </w:rPr>
        <w:t>was held via Zoom</w:t>
      </w:r>
      <w:r w:rsidR="00A56760" w:rsidRPr="002E0C57">
        <w:rPr>
          <w:rFonts w:cstheme="minorHAnsi"/>
        </w:rPr>
        <w:t xml:space="preserve"> for 66 participants.</w:t>
      </w:r>
      <w:r w:rsidR="00A546B8" w:rsidRPr="002E0C57">
        <w:rPr>
          <w:rFonts w:cstheme="minorHAnsi"/>
        </w:rPr>
        <w:t xml:space="preserve"> </w:t>
      </w:r>
      <w:r w:rsidR="004815F2" w:rsidRPr="002E0C57">
        <w:rPr>
          <w:rFonts w:cstheme="minorHAnsi"/>
        </w:rPr>
        <w:t>V</w:t>
      </w:r>
      <w:r w:rsidR="00F133F8" w:rsidRPr="002E0C57">
        <w:rPr>
          <w:rFonts w:cstheme="minorHAnsi"/>
        </w:rPr>
        <w:t xml:space="preserve">irtual trainings </w:t>
      </w:r>
      <w:r w:rsidR="004815F2" w:rsidRPr="002E0C57">
        <w:rPr>
          <w:rFonts w:cstheme="minorHAnsi"/>
        </w:rPr>
        <w:t xml:space="preserve">were recorded </w:t>
      </w:r>
      <w:r w:rsidR="00F133F8" w:rsidRPr="002E0C57">
        <w:rPr>
          <w:rFonts w:cstheme="minorHAnsi"/>
        </w:rPr>
        <w:t xml:space="preserve">to share in </w:t>
      </w:r>
      <w:r w:rsidR="000E7723" w:rsidRPr="002E0C57">
        <w:rPr>
          <w:rFonts w:cstheme="minorHAnsi"/>
        </w:rPr>
        <w:t>the state</w:t>
      </w:r>
      <w:r w:rsidR="00F133F8" w:rsidRPr="002E0C57">
        <w:rPr>
          <w:rFonts w:cstheme="minorHAnsi"/>
        </w:rPr>
        <w:t xml:space="preserve"> Schoology group</w:t>
      </w:r>
      <w:r w:rsidR="00421750" w:rsidRPr="002E0C57">
        <w:rPr>
          <w:rFonts w:cstheme="minorHAnsi"/>
        </w:rPr>
        <w:t>s for later or repeated viewing.</w:t>
      </w:r>
    </w:p>
    <w:p w14:paraId="74610042" w14:textId="17FC6239" w:rsidR="00DD02AB" w:rsidRPr="002E0C57" w:rsidRDefault="00867425" w:rsidP="001E21C4">
      <w:pPr>
        <w:rPr>
          <w:rFonts w:cstheme="minorHAnsi"/>
        </w:rPr>
      </w:pPr>
      <w:r w:rsidRPr="002E0C57">
        <w:rPr>
          <w:rFonts w:cstheme="minorHAnsi"/>
        </w:rPr>
        <w:t xml:space="preserve">The </w:t>
      </w:r>
      <w:r w:rsidR="0036746D">
        <w:rPr>
          <w:rFonts w:cstheme="minorHAnsi"/>
        </w:rPr>
        <w:t>s</w:t>
      </w:r>
      <w:r w:rsidRPr="002E0C57">
        <w:rPr>
          <w:rFonts w:cstheme="minorHAnsi"/>
        </w:rPr>
        <w:t xml:space="preserve">tate </w:t>
      </w:r>
      <w:r w:rsidR="0036746D">
        <w:rPr>
          <w:rFonts w:cstheme="minorHAnsi"/>
        </w:rPr>
        <w:t>o</w:t>
      </w:r>
      <w:r w:rsidRPr="002E0C57">
        <w:rPr>
          <w:rFonts w:cstheme="minorHAnsi"/>
        </w:rPr>
        <w:t xml:space="preserve">ffice’s membership in the </w:t>
      </w:r>
      <w:r w:rsidR="00DD02AB" w:rsidRPr="002E0C57">
        <w:rPr>
          <w:rFonts w:cstheme="minorHAnsi"/>
        </w:rPr>
        <w:t>IDEAL consortium</w:t>
      </w:r>
      <w:r w:rsidR="00BF4EC7" w:rsidRPr="002E0C57">
        <w:rPr>
          <w:rFonts w:cstheme="minorHAnsi"/>
        </w:rPr>
        <w:t xml:space="preserve"> ensured that </w:t>
      </w:r>
      <w:r w:rsidR="004F476A" w:rsidRPr="002E0C57">
        <w:rPr>
          <w:rFonts w:cstheme="minorHAnsi"/>
        </w:rPr>
        <w:t>we</w:t>
      </w:r>
      <w:r w:rsidR="00BF4EC7" w:rsidRPr="002E0C57">
        <w:rPr>
          <w:rFonts w:cstheme="minorHAnsi"/>
        </w:rPr>
        <w:t xml:space="preserve"> had access to </w:t>
      </w:r>
      <w:r w:rsidR="003F09A4" w:rsidRPr="002E0C57">
        <w:rPr>
          <w:rFonts w:cstheme="minorHAnsi"/>
        </w:rPr>
        <w:t xml:space="preserve">high-quality distance learning resources to share with the field. </w:t>
      </w:r>
      <w:r w:rsidR="00834BA4" w:rsidRPr="002E0C57">
        <w:rPr>
          <w:rFonts w:cstheme="minorHAnsi"/>
        </w:rPr>
        <w:t xml:space="preserve">The </w:t>
      </w:r>
      <w:r w:rsidR="002E226C">
        <w:rPr>
          <w:rFonts w:cstheme="minorHAnsi"/>
        </w:rPr>
        <w:t>s</w:t>
      </w:r>
      <w:r w:rsidR="00834BA4" w:rsidRPr="002E0C57">
        <w:rPr>
          <w:rFonts w:cstheme="minorHAnsi"/>
        </w:rPr>
        <w:t xml:space="preserve">tate staff participated in the </w:t>
      </w:r>
      <w:r w:rsidR="000F3257" w:rsidRPr="002E0C57">
        <w:rPr>
          <w:rFonts w:cstheme="minorHAnsi"/>
        </w:rPr>
        <w:t xml:space="preserve">weekly distance learning strategy sessions, shared resources with the field, </w:t>
      </w:r>
      <w:r w:rsidR="00E81AD6" w:rsidRPr="002E0C57">
        <w:rPr>
          <w:rFonts w:cstheme="minorHAnsi"/>
        </w:rPr>
        <w:t>and</w:t>
      </w:r>
      <w:r w:rsidR="003334CD" w:rsidRPr="002E0C57">
        <w:rPr>
          <w:rFonts w:cstheme="minorHAnsi"/>
        </w:rPr>
        <w:t xml:space="preserve"> used</w:t>
      </w:r>
      <w:r w:rsidR="003C634C" w:rsidRPr="002E0C57">
        <w:rPr>
          <w:rFonts w:cstheme="minorHAnsi"/>
        </w:rPr>
        <w:t xml:space="preserve"> their</w:t>
      </w:r>
      <w:r w:rsidR="003334CD" w:rsidRPr="002E0C57">
        <w:rPr>
          <w:rFonts w:cstheme="minorHAnsi"/>
        </w:rPr>
        <w:t xml:space="preserve"> learnings in the revision of the state’s distance education guidance and plan. IDEAL member states opened the</w:t>
      </w:r>
      <w:r w:rsidR="00756B0F" w:rsidRPr="002E0C57">
        <w:rPr>
          <w:rFonts w:cstheme="minorHAnsi"/>
        </w:rPr>
        <w:t>ir</w:t>
      </w:r>
      <w:r w:rsidR="003334CD" w:rsidRPr="002E0C57">
        <w:rPr>
          <w:rFonts w:cstheme="minorHAnsi"/>
        </w:rPr>
        <w:t xml:space="preserve"> PD to </w:t>
      </w:r>
      <w:r w:rsidR="00425731" w:rsidRPr="002E0C57">
        <w:rPr>
          <w:rFonts w:cstheme="minorHAnsi"/>
        </w:rPr>
        <w:t>other member</w:t>
      </w:r>
      <w:r w:rsidR="002E4338" w:rsidRPr="002E0C57">
        <w:rPr>
          <w:rFonts w:cstheme="minorHAnsi"/>
        </w:rPr>
        <w:t xml:space="preserve"> states</w:t>
      </w:r>
      <w:r w:rsidR="007C639E" w:rsidRPr="002E0C57">
        <w:rPr>
          <w:rFonts w:cstheme="minorHAnsi"/>
        </w:rPr>
        <w:t xml:space="preserve">. We </w:t>
      </w:r>
      <w:r w:rsidR="00631EB6" w:rsidRPr="002E0C57">
        <w:rPr>
          <w:rFonts w:cstheme="minorHAnsi"/>
        </w:rPr>
        <w:t>shared</w:t>
      </w:r>
      <w:r w:rsidR="007C639E" w:rsidRPr="002E0C57">
        <w:rPr>
          <w:rFonts w:cstheme="minorHAnsi"/>
        </w:rPr>
        <w:t xml:space="preserve"> many of those additional distance learning resources</w:t>
      </w:r>
      <w:r w:rsidR="007D1CF9" w:rsidRPr="002E0C57">
        <w:rPr>
          <w:rFonts w:cstheme="minorHAnsi"/>
        </w:rPr>
        <w:t xml:space="preserve"> that we did not have the capacity to deliver</w:t>
      </w:r>
      <w:r w:rsidR="00631EB6" w:rsidRPr="002E0C57">
        <w:rPr>
          <w:rFonts w:cstheme="minorHAnsi"/>
        </w:rPr>
        <w:t xml:space="preserve"> with our practitioners.</w:t>
      </w:r>
      <w:r w:rsidR="007D1CF9" w:rsidRPr="002E0C57">
        <w:rPr>
          <w:rFonts w:cstheme="minorHAnsi"/>
        </w:rPr>
        <w:t xml:space="preserve"> </w:t>
      </w:r>
      <w:r w:rsidR="00A32FDD" w:rsidRPr="002E0C57">
        <w:rPr>
          <w:rFonts w:cstheme="minorHAnsi"/>
        </w:rPr>
        <w:t>As IDEAL members we also were able to offer introductory courses in blended and mobile learning and open education</w:t>
      </w:r>
      <w:r w:rsidR="00582D24" w:rsidRPr="002E0C57">
        <w:rPr>
          <w:rFonts w:cstheme="minorHAnsi"/>
        </w:rPr>
        <w:t>al resources through WorldEd’s elearning</w:t>
      </w:r>
      <w:r w:rsidR="00E80408" w:rsidRPr="002E0C57">
        <w:rPr>
          <w:rFonts w:cstheme="minorHAnsi"/>
        </w:rPr>
        <w:t xml:space="preserve"> platform</w:t>
      </w:r>
      <w:r w:rsidR="00582D24" w:rsidRPr="002E0C57">
        <w:rPr>
          <w:rFonts w:cstheme="minorHAnsi"/>
        </w:rPr>
        <w:t>.</w:t>
      </w:r>
      <w:r w:rsidR="00E80408" w:rsidRPr="002E0C57">
        <w:rPr>
          <w:rFonts w:cstheme="minorHAnsi"/>
        </w:rPr>
        <w:t xml:space="preserve"> The generosity of other states in sharing their professional development</w:t>
      </w:r>
      <w:r w:rsidR="008975E0" w:rsidRPr="002E0C57">
        <w:rPr>
          <w:rFonts w:cstheme="minorHAnsi"/>
        </w:rPr>
        <w:t xml:space="preserve">, resources, </w:t>
      </w:r>
      <w:r w:rsidR="001D572D" w:rsidRPr="002E0C57">
        <w:rPr>
          <w:rFonts w:cstheme="minorHAnsi"/>
        </w:rPr>
        <w:t xml:space="preserve">strategies for </w:t>
      </w:r>
      <w:r w:rsidR="00564091" w:rsidRPr="002E0C57">
        <w:rPr>
          <w:rFonts w:cstheme="minorHAnsi"/>
        </w:rPr>
        <w:t>communicat</w:t>
      </w:r>
      <w:r w:rsidR="00D12C1A" w:rsidRPr="002E0C57">
        <w:rPr>
          <w:rFonts w:cstheme="minorHAnsi"/>
        </w:rPr>
        <w:t>ing</w:t>
      </w:r>
      <w:r w:rsidR="005376B1" w:rsidRPr="002E0C57">
        <w:rPr>
          <w:rFonts w:cstheme="minorHAnsi"/>
        </w:rPr>
        <w:t xml:space="preserve"> with the field helped us </w:t>
      </w:r>
      <w:r w:rsidR="00B76CB0" w:rsidRPr="002E0C57">
        <w:rPr>
          <w:rFonts w:cstheme="minorHAnsi"/>
        </w:rPr>
        <w:t>refine our approach</w:t>
      </w:r>
      <w:r w:rsidR="003C634C" w:rsidRPr="002E0C57">
        <w:rPr>
          <w:rFonts w:cstheme="minorHAnsi"/>
        </w:rPr>
        <w:t xml:space="preserve"> to distance learning</w:t>
      </w:r>
      <w:r w:rsidR="00B76CB0" w:rsidRPr="002E0C57">
        <w:rPr>
          <w:rFonts w:cstheme="minorHAnsi"/>
        </w:rPr>
        <w:t xml:space="preserve"> </w:t>
      </w:r>
      <w:r w:rsidR="00D82FBB" w:rsidRPr="002E0C57">
        <w:rPr>
          <w:rFonts w:cstheme="minorHAnsi"/>
        </w:rPr>
        <w:t xml:space="preserve">and offer opportunities </w:t>
      </w:r>
      <w:r w:rsidR="00174571" w:rsidRPr="002E0C57">
        <w:rPr>
          <w:rFonts w:cstheme="minorHAnsi"/>
        </w:rPr>
        <w:t>beyond our scope.</w:t>
      </w:r>
    </w:p>
    <w:p w14:paraId="1AEA7E4A" w14:textId="6C11022E" w:rsidR="000E788F" w:rsidRPr="002E0C57" w:rsidRDefault="000E788F" w:rsidP="001E21C4">
      <w:pPr>
        <w:rPr>
          <w:rFonts w:cstheme="minorHAnsi"/>
          <w:color w:val="FF0000"/>
        </w:rPr>
      </w:pPr>
      <w:r w:rsidRPr="002E0C57">
        <w:rPr>
          <w:rFonts w:cstheme="minorHAnsi"/>
        </w:rPr>
        <w:t xml:space="preserve">The </w:t>
      </w:r>
      <w:r w:rsidR="00783AD4">
        <w:rPr>
          <w:rFonts w:cstheme="minorHAnsi"/>
        </w:rPr>
        <w:t>s</w:t>
      </w:r>
      <w:r w:rsidRPr="002E0C57">
        <w:rPr>
          <w:rFonts w:cstheme="minorHAnsi"/>
        </w:rPr>
        <w:t xml:space="preserve">tate </w:t>
      </w:r>
      <w:r w:rsidR="00783AD4">
        <w:rPr>
          <w:rFonts w:cstheme="minorHAnsi"/>
        </w:rPr>
        <w:t>o</w:t>
      </w:r>
      <w:r w:rsidRPr="002E0C57">
        <w:rPr>
          <w:rFonts w:cstheme="minorHAnsi"/>
        </w:rPr>
        <w:t>ffice used systems we already had in place and added new structures to support the field. The Group feature of Schoology, the state learning management system, was critical for sharing information and resource</w:t>
      </w:r>
      <w:r w:rsidR="0083065F" w:rsidRPr="002E0C57">
        <w:rPr>
          <w:rFonts w:cstheme="minorHAnsi"/>
        </w:rPr>
        <w:t>s</w:t>
      </w:r>
      <w:r w:rsidRPr="002E0C57">
        <w:rPr>
          <w:rFonts w:cstheme="minorHAnsi"/>
        </w:rPr>
        <w:t xml:space="preserve"> with the field. In our </w:t>
      </w:r>
      <w:r w:rsidR="007A6452">
        <w:rPr>
          <w:rFonts w:cstheme="minorHAnsi"/>
        </w:rPr>
        <w:t>S</w:t>
      </w:r>
      <w:r w:rsidRPr="002E0C57">
        <w:rPr>
          <w:rFonts w:cstheme="minorHAnsi"/>
        </w:rPr>
        <w:t xml:space="preserve">tate Office Technical Assistance group, we created a folder for resources for all program roles and started discussions to encourage sharing around planning </w:t>
      </w:r>
      <w:r w:rsidRPr="002E0C57">
        <w:rPr>
          <w:rFonts w:cstheme="minorHAnsi"/>
        </w:rPr>
        <w:lastRenderedPageBreak/>
        <w:t>for remote services. We continued to use the statewide listserv</w:t>
      </w:r>
      <w:r w:rsidR="00512D5E" w:rsidRPr="002E0C57">
        <w:rPr>
          <w:rFonts w:cstheme="minorHAnsi"/>
        </w:rPr>
        <w:t xml:space="preserve"> (over 300 members)</w:t>
      </w:r>
      <w:r w:rsidRPr="002E0C57">
        <w:rPr>
          <w:rFonts w:cstheme="minorHAnsi"/>
        </w:rPr>
        <w:t xml:space="preserve"> to disseminate promising practices and to share listings for </w:t>
      </w:r>
      <w:r w:rsidR="004451C9" w:rsidRPr="002E0C57">
        <w:rPr>
          <w:rFonts w:cstheme="minorHAnsi"/>
        </w:rPr>
        <w:t>upcoming professional development opportunities sponsored by the State Office and our partners.</w:t>
      </w:r>
    </w:p>
    <w:p w14:paraId="46AE1C88" w14:textId="1BA7B2B8" w:rsidR="00D2027F" w:rsidRPr="002E0C57" w:rsidRDefault="00E7342B" w:rsidP="001E21C4">
      <w:pPr>
        <w:rPr>
          <w:rFonts w:cstheme="minorHAnsi"/>
        </w:rPr>
      </w:pPr>
      <w:r w:rsidRPr="002E0C57">
        <w:rPr>
          <w:rFonts w:cstheme="minorHAnsi"/>
        </w:rPr>
        <w:t>Beginning in March we began offering weekly office hours for adult education staff</w:t>
      </w:r>
      <w:r w:rsidR="000F3D58" w:rsidRPr="002E0C57">
        <w:rPr>
          <w:rFonts w:cstheme="minorHAnsi"/>
        </w:rPr>
        <w:t xml:space="preserve"> to come together and discuss </w:t>
      </w:r>
      <w:r w:rsidR="00763F0B" w:rsidRPr="002E0C57">
        <w:rPr>
          <w:rFonts w:cstheme="minorHAnsi"/>
        </w:rPr>
        <w:t>how they were delivering services to learners. The</w:t>
      </w:r>
      <w:r w:rsidR="005420F9" w:rsidRPr="002E0C57">
        <w:rPr>
          <w:rFonts w:cstheme="minorHAnsi"/>
        </w:rPr>
        <w:t xml:space="preserve"> </w:t>
      </w:r>
      <w:r w:rsidR="00D467EC" w:rsidRPr="002E0C57">
        <w:rPr>
          <w:rFonts w:cstheme="minorHAnsi"/>
        </w:rPr>
        <w:t xml:space="preserve">office hours created community among </w:t>
      </w:r>
      <w:r w:rsidR="004021E1" w:rsidRPr="002E0C57">
        <w:rPr>
          <w:rFonts w:cstheme="minorHAnsi"/>
        </w:rPr>
        <w:t xml:space="preserve">staff and gave them an opportunity to problem solve and learn from each other. </w:t>
      </w:r>
      <w:r w:rsidR="00051C31" w:rsidRPr="002E0C57">
        <w:rPr>
          <w:rFonts w:cstheme="minorHAnsi"/>
        </w:rPr>
        <w:t xml:space="preserve">We have </w:t>
      </w:r>
      <w:r w:rsidR="00AF5D6A" w:rsidRPr="002E0C57">
        <w:rPr>
          <w:rFonts w:cstheme="minorHAnsi"/>
        </w:rPr>
        <w:t xml:space="preserve">continued to offer the office hours monthly, but now offer </w:t>
      </w:r>
      <w:r w:rsidR="009B274E" w:rsidRPr="002E0C57">
        <w:rPr>
          <w:rFonts w:cstheme="minorHAnsi"/>
        </w:rPr>
        <w:t>times for specific program roles (advising, data, ESOL teachers, math and ELA</w:t>
      </w:r>
      <w:r w:rsidR="00757872" w:rsidRPr="002E0C57">
        <w:rPr>
          <w:rFonts w:cstheme="minorHAnsi"/>
        </w:rPr>
        <w:t>/Literacy</w:t>
      </w:r>
      <w:r w:rsidR="009B274E" w:rsidRPr="002E0C57">
        <w:rPr>
          <w:rFonts w:cstheme="minorHAnsi"/>
        </w:rPr>
        <w:t xml:space="preserve"> teachers</w:t>
      </w:r>
      <w:r w:rsidR="00670BAA" w:rsidRPr="002E0C57">
        <w:rPr>
          <w:rFonts w:cstheme="minorHAnsi"/>
        </w:rPr>
        <w:t xml:space="preserve">) and have recruited local practitioners to facilitate the discussions. The sessions are recorded and </w:t>
      </w:r>
      <w:r w:rsidR="00EA6B0F" w:rsidRPr="002E0C57">
        <w:rPr>
          <w:rFonts w:cstheme="minorHAnsi"/>
        </w:rPr>
        <w:t>shared in Schoology with notes and resources from the meetings. The State Office used information from the office hours, as well as Town Hall meetings</w:t>
      </w:r>
      <w:r w:rsidR="008268D3" w:rsidRPr="002E0C57">
        <w:rPr>
          <w:rFonts w:cstheme="minorHAnsi"/>
        </w:rPr>
        <w:t xml:space="preserve">, to inform our </w:t>
      </w:r>
      <w:r w:rsidR="00512D5E" w:rsidRPr="002E0C57">
        <w:rPr>
          <w:rFonts w:cstheme="minorHAnsi"/>
        </w:rPr>
        <w:t>priorities</w:t>
      </w:r>
      <w:r w:rsidR="00915A71" w:rsidRPr="002E0C57">
        <w:rPr>
          <w:rFonts w:cstheme="minorHAnsi"/>
        </w:rPr>
        <w:t xml:space="preserve"> both immediately and longer-term</w:t>
      </w:r>
      <w:r w:rsidR="008268D3" w:rsidRPr="002E0C57">
        <w:rPr>
          <w:rFonts w:cstheme="minorHAnsi"/>
        </w:rPr>
        <w:t>.</w:t>
      </w:r>
    </w:p>
    <w:p w14:paraId="5D36959F" w14:textId="63858D47" w:rsidR="00091996" w:rsidRPr="002E0C57" w:rsidRDefault="008268D3" w:rsidP="001E21C4">
      <w:pPr>
        <w:rPr>
          <w:rFonts w:cstheme="minorHAnsi"/>
        </w:rPr>
      </w:pPr>
      <w:r w:rsidRPr="002E0C57">
        <w:rPr>
          <w:rFonts w:cstheme="minorHAnsi"/>
        </w:rPr>
        <w:t xml:space="preserve">As </w:t>
      </w:r>
      <w:r w:rsidR="00677D1E" w:rsidRPr="002E0C57">
        <w:rPr>
          <w:rFonts w:cstheme="minorHAnsi"/>
        </w:rPr>
        <w:t>CASAS</w:t>
      </w:r>
      <w:r w:rsidR="00152C2B" w:rsidRPr="002E0C57">
        <w:rPr>
          <w:rFonts w:cstheme="minorHAnsi"/>
        </w:rPr>
        <w:t xml:space="preserve">, </w:t>
      </w:r>
      <w:r w:rsidR="00677D1E" w:rsidRPr="002E0C57">
        <w:rPr>
          <w:rFonts w:cstheme="minorHAnsi"/>
        </w:rPr>
        <w:t>HiSET</w:t>
      </w:r>
      <w:r w:rsidR="00152C2B" w:rsidRPr="002E0C57">
        <w:rPr>
          <w:rFonts w:cstheme="minorHAnsi"/>
        </w:rPr>
        <w:t>, and OCTAE</w:t>
      </w:r>
      <w:r w:rsidR="00677D1E" w:rsidRPr="002E0C57">
        <w:rPr>
          <w:rFonts w:cstheme="minorHAnsi"/>
        </w:rPr>
        <w:t xml:space="preserve"> released guidance around supporting programs during the pandemic, the </w:t>
      </w:r>
      <w:r w:rsidR="003F78BB">
        <w:rPr>
          <w:rFonts w:cstheme="minorHAnsi"/>
        </w:rPr>
        <w:t>s</w:t>
      </w:r>
      <w:r w:rsidR="00677D1E" w:rsidRPr="002E0C57">
        <w:rPr>
          <w:rFonts w:cstheme="minorHAnsi"/>
        </w:rPr>
        <w:t xml:space="preserve">tate </w:t>
      </w:r>
      <w:r w:rsidR="003F78BB">
        <w:rPr>
          <w:rFonts w:cstheme="minorHAnsi"/>
        </w:rPr>
        <w:t>o</w:t>
      </w:r>
      <w:r w:rsidR="00677D1E" w:rsidRPr="002E0C57">
        <w:rPr>
          <w:rFonts w:cstheme="minorHAnsi"/>
        </w:rPr>
        <w:t xml:space="preserve">ffice offered specific </w:t>
      </w:r>
      <w:r w:rsidR="00665EEA" w:rsidRPr="002E0C57">
        <w:rPr>
          <w:rFonts w:cstheme="minorHAnsi"/>
        </w:rPr>
        <w:t>sessions</w:t>
      </w:r>
      <w:r w:rsidR="00152C2B" w:rsidRPr="002E0C57">
        <w:rPr>
          <w:rFonts w:cstheme="minorHAnsi"/>
        </w:rPr>
        <w:t xml:space="preserve"> related to the new guidance</w:t>
      </w:r>
      <w:r w:rsidR="00665EEA" w:rsidRPr="002E0C57">
        <w:rPr>
          <w:rFonts w:cstheme="minorHAnsi"/>
        </w:rPr>
        <w:t xml:space="preserve"> and shared resources</w:t>
      </w:r>
      <w:r w:rsidR="00FE087D" w:rsidRPr="002E0C57">
        <w:rPr>
          <w:rFonts w:cstheme="minorHAnsi"/>
        </w:rPr>
        <w:t xml:space="preserve"> and opportunities for training</w:t>
      </w:r>
      <w:r w:rsidR="00665EEA" w:rsidRPr="002E0C57">
        <w:rPr>
          <w:rFonts w:cstheme="minorHAnsi"/>
        </w:rPr>
        <w:t xml:space="preserve"> via email and in the Schoology groups. </w:t>
      </w:r>
      <w:r w:rsidR="0042603A" w:rsidRPr="002E0C57">
        <w:rPr>
          <w:rFonts w:cstheme="minorHAnsi"/>
        </w:rPr>
        <w:t>One</w:t>
      </w:r>
      <w:r w:rsidR="00A07146" w:rsidRPr="002E0C57">
        <w:rPr>
          <w:rFonts w:cstheme="minorHAnsi"/>
        </w:rPr>
        <w:t xml:space="preserve"> </w:t>
      </w:r>
      <w:r w:rsidR="00FE087D" w:rsidRPr="002E0C57">
        <w:rPr>
          <w:rFonts w:cstheme="minorHAnsi"/>
        </w:rPr>
        <w:t xml:space="preserve">Maine </w:t>
      </w:r>
      <w:r w:rsidR="006E3F84" w:rsidRPr="002E0C57">
        <w:rPr>
          <w:rFonts w:cstheme="minorHAnsi"/>
        </w:rPr>
        <w:t>local provider</w:t>
      </w:r>
      <w:r w:rsidR="00FE087D" w:rsidRPr="002E0C57">
        <w:rPr>
          <w:rFonts w:cstheme="minorHAnsi"/>
        </w:rPr>
        <w:t xml:space="preserve"> volunteered to </w:t>
      </w:r>
      <w:r w:rsidR="006E3F84" w:rsidRPr="002E0C57">
        <w:rPr>
          <w:rFonts w:cstheme="minorHAnsi"/>
        </w:rPr>
        <w:t xml:space="preserve">field-test CASAS GoRemote which assisted the </w:t>
      </w:r>
      <w:r w:rsidR="00C3368E">
        <w:rPr>
          <w:rFonts w:cstheme="minorHAnsi"/>
        </w:rPr>
        <w:t>s</w:t>
      </w:r>
      <w:r w:rsidR="006E3F84" w:rsidRPr="002E0C57">
        <w:rPr>
          <w:rFonts w:cstheme="minorHAnsi"/>
        </w:rPr>
        <w:t xml:space="preserve">tate </w:t>
      </w:r>
      <w:r w:rsidR="00C3368E">
        <w:rPr>
          <w:rFonts w:cstheme="minorHAnsi"/>
        </w:rPr>
        <w:t>o</w:t>
      </w:r>
      <w:r w:rsidR="006E3F84" w:rsidRPr="002E0C57">
        <w:rPr>
          <w:rFonts w:cstheme="minorHAnsi"/>
        </w:rPr>
        <w:t xml:space="preserve">ffice in communicating </w:t>
      </w:r>
      <w:r w:rsidR="003A787E" w:rsidRPr="002E0C57">
        <w:rPr>
          <w:rFonts w:cstheme="minorHAnsi"/>
        </w:rPr>
        <w:t xml:space="preserve">information and expectations around the process. We continued to offer support through office hours and shared </w:t>
      </w:r>
      <w:r w:rsidR="00BC43E3" w:rsidRPr="002E0C57">
        <w:rPr>
          <w:rFonts w:cstheme="minorHAnsi"/>
        </w:rPr>
        <w:t xml:space="preserve">documents as providers implemented remote testing. For those who were unable to </w:t>
      </w:r>
      <w:r w:rsidR="00620797" w:rsidRPr="002E0C57">
        <w:rPr>
          <w:rFonts w:cstheme="minorHAnsi"/>
        </w:rPr>
        <w:t>offer remote testing, we shared other assessments</w:t>
      </w:r>
      <w:r w:rsidR="00DA6A73" w:rsidRPr="002E0C57">
        <w:rPr>
          <w:rFonts w:cstheme="minorHAnsi"/>
        </w:rPr>
        <w:t xml:space="preserve"> for local providers to use for class placement, including the CASAS </w:t>
      </w:r>
      <w:r w:rsidR="007D4BB9" w:rsidRPr="002E0C57">
        <w:rPr>
          <w:rFonts w:cstheme="minorHAnsi"/>
        </w:rPr>
        <w:t xml:space="preserve">Reading Level Indicator and ReadTheory. </w:t>
      </w:r>
    </w:p>
    <w:p w14:paraId="3A0EAC9B" w14:textId="0F1CF0C7" w:rsidR="00175829" w:rsidRPr="002E0C57" w:rsidRDefault="00CB2153" w:rsidP="001E21C4">
      <w:pPr>
        <w:autoSpaceDE w:val="0"/>
        <w:autoSpaceDN w:val="0"/>
        <w:rPr>
          <w:rFonts w:cstheme="minorHAnsi"/>
          <w:bCs/>
        </w:rPr>
      </w:pPr>
      <w:r w:rsidRPr="002E0C57">
        <w:rPr>
          <w:rFonts w:cstheme="minorHAnsi"/>
          <w:bCs/>
        </w:rPr>
        <w:t xml:space="preserve">State </w:t>
      </w:r>
      <w:r w:rsidR="00E2418A">
        <w:rPr>
          <w:rFonts w:cstheme="minorHAnsi"/>
          <w:bCs/>
        </w:rPr>
        <w:t>o</w:t>
      </w:r>
      <w:r w:rsidRPr="002E0C57">
        <w:rPr>
          <w:rFonts w:cstheme="minorHAnsi"/>
          <w:bCs/>
        </w:rPr>
        <w:t>ffice personnel attend relevant and appropriate federal and regional technical assistance trainings, such as National Reporting System on-line and in-person trainings, OCTAE Shop Talks</w:t>
      </w:r>
      <w:r w:rsidR="00175829" w:rsidRPr="002E0C57">
        <w:rPr>
          <w:rFonts w:cstheme="minorHAnsi"/>
          <w:bCs/>
        </w:rPr>
        <w:t xml:space="preserve">, </w:t>
      </w:r>
      <w:r w:rsidRPr="002E0C57">
        <w:rPr>
          <w:rFonts w:cstheme="minorHAnsi"/>
          <w:bCs/>
        </w:rPr>
        <w:t>LINCS professional learning groups, the NASDAE National Training Institute, IDEAL consortium summer institute</w:t>
      </w:r>
      <w:r w:rsidR="00E2418A">
        <w:rPr>
          <w:rFonts w:cstheme="minorHAnsi"/>
          <w:bCs/>
        </w:rPr>
        <w:t>,</w:t>
      </w:r>
      <w:r w:rsidRPr="002E0C57">
        <w:rPr>
          <w:rFonts w:cstheme="minorHAnsi"/>
          <w:bCs/>
        </w:rPr>
        <w:t xml:space="preserve"> and then report back to our local service providers with information, materials, and guidance on those impacts.</w:t>
      </w:r>
      <w:r w:rsidR="00B804E8" w:rsidRPr="002E0C57">
        <w:rPr>
          <w:rFonts w:cstheme="minorHAnsi"/>
          <w:bCs/>
        </w:rPr>
        <w:t xml:space="preserve"> </w:t>
      </w:r>
      <w:r w:rsidR="005A546F" w:rsidRPr="002E0C57">
        <w:rPr>
          <w:rFonts w:cstheme="minorHAnsi"/>
          <w:bCs/>
        </w:rPr>
        <w:t xml:space="preserve">Since many </w:t>
      </w:r>
      <w:r w:rsidR="0087747A" w:rsidRPr="002E0C57">
        <w:rPr>
          <w:rFonts w:cstheme="minorHAnsi"/>
          <w:bCs/>
        </w:rPr>
        <w:t xml:space="preserve">conferences and trainings shifted to virtual events, </w:t>
      </w:r>
      <w:r w:rsidR="005F1E25">
        <w:rPr>
          <w:rFonts w:cstheme="minorHAnsi"/>
          <w:bCs/>
        </w:rPr>
        <w:t>s</w:t>
      </w:r>
      <w:r w:rsidR="00B804E8" w:rsidRPr="002E0C57">
        <w:rPr>
          <w:rFonts w:cstheme="minorHAnsi"/>
          <w:bCs/>
        </w:rPr>
        <w:t xml:space="preserve">tate </w:t>
      </w:r>
      <w:r w:rsidR="005F1E25">
        <w:rPr>
          <w:rFonts w:cstheme="minorHAnsi"/>
          <w:bCs/>
        </w:rPr>
        <w:t>o</w:t>
      </w:r>
      <w:r w:rsidR="00B804E8" w:rsidRPr="002E0C57">
        <w:rPr>
          <w:rFonts w:cstheme="minorHAnsi"/>
          <w:bCs/>
        </w:rPr>
        <w:t xml:space="preserve">ffice personnel were able to participate </w:t>
      </w:r>
      <w:r w:rsidR="0087747A" w:rsidRPr="002E0C57">
        <w:rPr>
          <w:rFonts w:cstheme="minorHAnsi"/>
          <w:bCs/>
        </w:rPr>
        <w:t>in opportunities that were usually not</w:t>
      </w:r>
      <w:r w:rsidR="002B3870" w:rsidRPr="002E0C57">
        <w:rPr>
          <w:rFonts w:cstheme="minorHAnsi"/>
          <w:bCs/>
        </w:rPr>
        <w:t xml:space="preserve"> available due to travel costs. </w:t>
      </w:r>
    </w:p>
    <w:p w14:paraId="20E9CD94" w14:textId="02721BF2" w:rsidR="00C65595" w:rsidRPr="002E0C57" w:rsidRDefault="005544DA" w:rsidP="001E21C4">
      <w:pPr>
        <w:rPr>
          <w:rFonts w:cstheme="minorHAnsi"/>
          <w:b/>
          <w:bCs/>
          <w:i/>
          <w:iCs/>
        </w:rPr>
      </w:pPr>
      <w:r w:rsidRPr="002E0C57">
        <w:rPr>
          <w:rFonts w:cstheme="minorHAnsi"/>
          <w:b/>
          <w:bCs/>
          <w:i/>
          <w:iCs/>
        </w:rPr>
        <w:t>iii. Prov</w:t>
      </w:r>
      <w:r w:rsidR="007637DC" w:rsidRPr="002E0C57">
        <w:rPr>
          <w:rFonts w:cstheme="minorHAnsi"/>
          <w:b/>
          <w:bCs/>
          <w:i/>
          <w:iCs/>
        </w:rPr>
        <w:t>i</w:t>
      </w:r>
      <w:r w:rsidRPr="002E0C57">
        <w:rPr>
          <w:rFonts w:cstheme="minorHAnsi"/>
          <w:b/>
          <w:bCs/>
          <w:i/>
          <w:iCs/>
        </w:rPr>
        <w:t>sion of technical assistance to funded eligible providers as described in section 223 (a)(1)(C)</w:t>
      </w:r>
    </w:p>
    <w:p w14:paraId="3645D11B" w14:textId="4BDBFC94" w:rsidR="00177A93" w:rsidRPr="002E0C57" w:rsidRDefault="00177A93" w:rsidP="001E21C4">
      <w:pPr>
        <w:rPr>
          <w:rFonts w:cstheme="minorHAnsi"/>
          <w:bCs/>
        </w:rPr>
      </w:pPr>
      <w:r w:rsidRPr="002E0C57">
        <w:rPr>
          <w:rFonts w:cstheme="minorHAnsi"/>
          <w:bCs/>
        </w:rPr>
        <w:t xml:space="preserve">The </w:t>
      </w:r>
      <w:r w:rsidR="005F1E25">
        <w:rPr>
          <w:rFonts w:cstheme="minorHAnsi"/>
          <w:bCs/>
        </w:rPr>
        <w:t>s</w:t>
      </w:r>
      <w:r w:rsidRPr="002E0C57">
        <w:rPr>
          <w:rFonts w:cstheme="minorHAnsi"/>
          <w:bCs/>
        </w:rPr>
        <w:t xml:space="preserve">tate </w:t>
      </w:r>
      <w:r w:rsidR="005F1E25">
        <w:rPr>
          <w:rFonts w:cstheme="minorHAnsi"/>
          <w:bCs/>
        </w:rPr>
        <w:t>o</w:t>
      </w:r>
      <w:r w:rsidRPr="002E0C57">
        <w:rPr>
          <w:rFonts w:cstheme="minorHAnsi"/>
          <w:bCs/>
        </w:rPr>
        <w:t xml:space="preserve">ffice provides technical assistance in the context of the statewide Title II professional development system, pursuant to program monitoring activities and as needed by individual local providers and one-stop partners based on performance, demographic, or staff changes. </w:t>
      </w:r>
    </w:p>
    <w:p w14:paraId="63257231" w14:textId="2C464B2D" w:rsidR="00923A07" w:rsidRPr="002E0C57" w:rsidRDefault="008E7FA3" w:rsidP="001E21C4">
      <w:pPr>
        <w:rPr>
          <w:rFonts w:cstheme="minorHAnsi"/>
        </w:rPr>
      </w:pPr>
      <w:r w:rsidRPr="002E0C57">
        <w:rPr>
          <w:rFonts w:cstheme="minorHAnsi"/>
        </w:rPr>
        <w:t xml:space="preserve">Following the model of OCTAE, </w:t>
      </w:r>
      <w:r w:rsidR="00675336">
        <w:rPr>
          <w:rFonts w:cstheme="minorHAnsi"/>
        </w:rPr>
        <w:t>we</w:t>
      </w:r>
      <w:r w:rsidRPr="002E0C57">
        <w:rPr>
          <w:rFonts w:cstheme="minorHAnsi"/>
        </w:rPr>
        <w:t xml:space="preserve"> hosted </w:t>
      </w:r>
      <w:r w:rsidR="007E5709" w:rsidRPr="002E0C57">
        <w:rPr>
          <w:rFonts w:cstheme="minorHAnsi"/>
        </w:rPr>
        <w:t xml:space="preserve">a Town Hall meeting for local providers in March to learn how we could support them </w:t>
      </w:r>
      <w:r w:rsidR="00B20F3D" w:rsidRPr="002E0C57">
        <w:rPr>
          <w:rFonts w:cstheme="minorHAnsi"/>
        </w:rPr>
        <w:t xml:space="preserve">with the transition to emergency remote services. We shared </w:t>
      </w:r>
      <w:r w:rsidR="00D60A92" w:rsidRPr="002E0C57">
        <w:rPr>
          <w:rFonts w:cstheme="minorHAnsi"/>
        </w:rPr>
        <w:t xml:space="preserve">updated OCTAE and NRS guidance on assessments, tracking attendance, and answered </w:t>
      </w:r>
      <w:r w:rsidR="00345C8C" w:rsidRPr="002E0C57">
        <w:rPr>
          <w:rFonts w:cstheme="minorHAnsi"/>
        </w:rPr>
        <w:t xml:space="preserve">many </w:t>
      </w:r>
      <w:r w:rsidR="00D60A92" w:rsidRPr="002E0C57">
        <w:rPr>
          <w:rFonts w:cstheme="minorHAnsi"/>
        </w:rPr>
        <w:t xml:space="preserve">questions. The information from this </w:t>
      </w:r>
      <w:r w:rsidR="002E21D4" w:rsidRPr="002E0C57">
        <w:rPr>
          <w:rFonts w:cstheme="minorHAnsi"/>
        </w:rPr>
        <w:t xml:space="preserve">Maine Town Hall </w:t>
      </w:r>
      <w:r w:rsidR="00D60A92" w:rsidRPr="002E0C57">
        <w:rPr>
          <w:rFonts w:cstheme="minorHAnsi"/>
        </w:rPr>
        <w:t xml:space="preserve">and several other surveys </w:t>
      </w:r>
      <w:r w:rsidR="00C629A9" w:rsidRPr="002E0C57">
        <w:rPr>
          <w:rFonts w:cstheme="minorHAnsi"/>
        </w:rPr>
        <w:t>related to technology and device access allowed us to tailor our technical assistance</w:t>
      </w:r>
      <w:r w:rsidR="007665F5" w:rsidRPr="002E0C57">
        <w:rPr>
          <w:rFonts w:cstheme="minorHAnsi"/>
        </w:rPr>
        <w:t xml:space="preserve"> and offer resources</w:t>
      </w:r>
      <w:r w:rsidR="00C629A9" w:rsidRPr="002E0C57">
        <w:rPr>
          <w:rFonts w:cstheme="minorHAnsi"/>
        </w:rPr>
        <w:t xml:space="preserve"> to meet the immediate needs of local providers</w:t>
      </w:r>
      <w:r w:rsidR="007665F5" w:rsidRPr="002E0C57">
        <w:rPr>
          <w:rFonts w:cstheme="minorHAnsi"/>
        </w:rPr>
        <w:t>.</w:t>
      </w:r>
      <w:r w:rsidR="001341B7" w:rsidRPr="002E0C57">
        <w:rPr>
          <w:rFonts w:cstheme="minorHAnsi"/>
        </w:rPr>
        <w:t xml:space="preserve"> </w:t>
      </w:r>
    </w:p>
    <w:p w14:paraId="203CE322" w14:textId="22637C01" w:rsidR="009C4310" w:rsidRPr="002E0C57" w:rsidRDefault="00923A07" w:rsidP="001E21C4">
      <w:pPr>
        <w:rPr>
          <w:rFonts w:cstheme="minorHAnsi"/>
        </w:rPr>
      </w:pPr>
      <w:r w:rsidRPr="002E0C57">
        <w:rPr>
          <w:rFonts w:cstheme="minorHAnsi"/>
        </w:rPr>
        <w:t>As l</w:t>
      </w:r>
      <w:r w:rsidR="001341B7" w:rsidRPr="002E0C57">
        <w:rPr>
          <w:rFonts w:cstheme="minorHAnsi"/>
        </w:rPr>
        <w:t xml:space="preserve">ocal providers </w:t>
      </w:r>
      <w:r w:rsidRPr="002E0C57">
        <w:rPr>
          <w:rFonts w:cstheme="minorHAnsi"/>
        </w:rPr>
        <w:t xml:space="preserve">became </w:t>
      </w:r>
      <w:r w:rsidR="001341B7" w:rsidRPr="002E0C57">
        <w:rPr>
          <w:rFonts w:cstheme="minorHAnsi"/>
        </w:rPr>
        <w:t>overwhelmed with</w:t>
      </w:r>
      <w:r w:rsidR="007771F3" w:rsidRPr="002E0C57">
        <w:rPr>
          <w:rFonts w:cstheme="minorHAnsi"/>
        </w:rPr>
        <w:t xml:space="preserve"> </w:t>
      </w:r>
      <w:r w:rsidR="003B665A" w:rsidRPr="002E0C57">
        <w:rPr>
          <w:rFonts w:cstheme="minorHAnsi"/>
        </w:rPr>
        <w:t xml:space="preserve">the increased volume of electronic </w:t>
      </w:r>
      <w:r w:rsidR="00967111" w:rsidRPr="002E0C57">
        <w:rPr>
          <w:rFonts w:cstheme="minorHAnsi"/>
        </w:rPr>
        <w:t>communication and changing</w:t>
      </w:r>
      <w:r w:rsidR="001341B7" w:rsidRPr="002E0C57">
        <w:rPr>
          <w:rFonts w:cstheme="minorHAnsi"/>
        </w:rPr>
        <w:t xml:space="preserve"> dynamic</w:t>
      </w:r>
      <w:r w:rsidR="00967111" w:rsidRPr="002E0C57">
        <w:rPr>
          <w:rFonts w:cstheme="minorHAnsi"/>
        </w:rPr>
        <w:t xml:space="preserve">s </w:t>
      </w:r>
      <w:r w:rsidR="007771F3" w:rsidRPr="002E0C57">
        <w:rPr>
          <w:rFonts w:cstheme="minorHAnsi"/>
        </w:rPr>
        <w:t>due to</w:t>
      </w:r>
      <w:r w:rsidR="00967111" w:rsidRPr="002E0C57">
        <w:rPr>
          <w:rFonts w:cstheme="minorHAnsi"/>
        </w:rPr>
        <w:t xml:space="preserve"> the COVID-19</w:t>
      </w:r>
      <w:r w:rsidR="001341B7" w:rsidRPr="002E0C57">
        <w:rPr>
          <w:rFonts w:cstheme="minorHAnsi"/>
        </w:rPr>
        <w:t xml:space="preserve"> situation, we instituted a weekly ICYMI (In Case You Missed It)</w:t>
      </w:r>
      <w:r w:rsidR="007771F3" w:rsidRPr="002E0C57">
        <w:rPr>
          <w:rFonts w:cstheme="minorHAnsi"/>
        </w:rPr>
        <w:t xml:space="preserve">. </w:t>
      </w:r>
      <w:r w:rsidR="00D10D9F" w:rsidRPr="002E0C57">
        <w:rPr>
          <w:rFonts w:cstheme="minorHAnsi"/>
        </w:rPr>
        <w:t>The ICYMI is a bulleted list</w:t>
      </w:r>
      <w:r w:rsidR="005F27F3" w:rsidRPr="002E0C57">
        <w:rPr>
          <w:rFonts w:cstheme="minorHAnsi"/>
        </w:rPr>
        <w:t xml:space="preserve"> that summarizes</w:t>
      </w:r>
      <w:r w:rsidR="00D10D9F" w:rsidRPr="002E0C57">
        <w:rPr>
          <w:rFonts w:cstheme="minorHAnsi"/>
        </w:rPr>
        <w:t xml:space="preserve"> </w:t>
      </w:r>
      <w:r w:rsidR="00AB6449" w:rsidRPr="002E0C57">
        <w:rPr>
          <w:rFonts w:cstheme="minorHAnsi"/>
        </w:rPr>
        <w:t xml:space="preserve">recently shared </w:t>
      </w:r>
      <w:r w:rsidR="00D10D9F" w:rsidRPr="002E0C57">
        <w:rPr>
          <w:rFonts w:cstheme="minorHAnsi"/>
        </w:rPr>
        <w:t xml:space="preserve">important information from the state and </w:t>
      </w:r>
      <w:r w:rsidR="00D10D9F" w:rsidRPr="002E0C57">
        <w:rPr>
          <w:rFonts w:cstheme="minorHAnsi"/>
        </w:rPr>
        <w:lastRenderedPageBreak/>
        <w:t>federal levels</w:t>
      </w:r>
      <w:r w:rsidR="00295EB8" w:rsidRPr="002E0C57">
        <w:rPr>
          <w:rFonts w:cstheme="minorHAnsi"/>
        </w:rPr>
        <w:t xml:space="preserve"> in various WIOA and state aligned categories. </w:t>
      </w:r>
      <w:r w:rsidR="00735B85" w:rsidRPr="002E0C57">
        <w:rPr>
          <w:rFonts w:cstheme="minorHAnsi"/>
        </w:rPr>
        <w:t>It</w:t>
      </w:r>
      <w:r w:rsidR="006F4FB9">
        <w:rPr>
          <w:rFonts w:cstheme="minorHAnsi"/>
        </w:rPr>
        <w:t xml:space="preserve"> is</w:t>
      </w:r>
      <w:r w:rsidR="00735B85" w:rsidRPr="002E0C57">
        <w:rPr>
          <w:rFonts w:cstheme="minorHAnsi"/>
        </w:rPr>
        <w:t xml:space="preserve"> a reminder of deadlines, </w:t>
      </w:r>
      <w:r w:rsidR="00B2393B" w:rsidRPr="002E0C57">
        <w:rPr>
          <w:rFonts w:cstheme="minorHAnsi"/>
        </w:rPr>
        <w:t xml:space="preserve">upcoming professional development, links to articles or other resources highlighting best practices, and successes from the field. </w:t>
      </w:r>
      <w:r w:rsidR="006C04EC" w:rsidRPr="002E0C57">
        <w:rPr>
          <w:rFonts w:cstheme="minorHAnsi"/>
        </w:rPr>
        <w:t xml:space="preserve">The ICYMI has been so positively received we </w:t>
      </w:r>
      <w:r w:rsidR="003F639B">
        <w:rPr>
          <w:rFonts w:cstheme="minorHAnsi"/>
        </w:rPr>
        <w:t>will</w:t>
      </w:r>
      <w:r w:rsidR="006C04EC" w:rsidRPr="002E0C57">
        <w:rPr>
          <w:rFonts w:cstheme="minorHAnsi"/>
        </w:rPr>
        <w:t xml:space="preserve"> continu</w:t>
      </w:r>
      <w:r w:rsidR="003F639B">
        <w:rPr>
          <w:rFonts w:cstheme="minorHAnsi"/>
        </w:rPr>
        <w:t>e</w:t>
      </w:r>
      <w:r w:rsidR="00D3340E" w:rsidRPr="002E0C57">
        <w:rPr>
          <w:rFonts w:cstheme="minorHAnsi"/>
        </w:rPr>
        <w:t xml:space="preserve"> </w:t>
      </w:r>
      <w:r w:rsidR="00735B85" w:rsidRPr="002E0C57">
        <w:rPr>
          <w:rFonts w:cstheme="minorHAnsi"/>
        </w:rPr>
        <w:t>to</w:t>
      </w:r>
      <w:r w:rsidR="00D3340E" w:rsidRPr="002E0C57">
        <w:rPr>
          <w:rFonts w:cstheme="minorHAnsi"/>
        </w:rPr>
        <w:t xml:space="preserve"> </w:t>
      </w:r>
      <w:r w:rsidR="00B2393B" w:rsidRPr="002E0C57">
        <w:rPr>
          <w:rFonts w:cstheme="minorHAnsi"/>
        </w:rPr>
        <w:t>share</w:t>
      </w:r>
      <w:r w:rsidR="00735B85" w:rsidRPr="002E0C57">
        <w:rPr>
          <w:rFonts w:cstheme="minorHAnsi"/>
        </w:rPr>
        <w:t xml:space="preserve"> it</w:t>
      </w:r>
      <w:r w:rsidR="00B2393B" w:rsidRPr="002E0C57">
        <w:rPr>
          <w:rFonts w:cstheme="minorHAnsi"/>
        </w:rPr>
        <w:t xml:space="preserve"> through our statewide listserv and in the State Office Technical Assistance Schoology group.</w:t>
      </w:r>
    </w:p>
    <w:p w14:paraId="633309C1" w14:textId="54870591" w:rsidR="006927DA" w:rsidRPr="002E0C57" w:rsidRDefault="00DB71CC" w:rsidP="001E21C4">
      <w:pPr>
        <w:rPr>
          <w:rFonts w:cstheme="minorHAnsi"/>
        </w:rPr>
      </w:pPr>
      <w:r w:rsidRPr="002E0C57">
        <w:rPr>
          <w:rFonts w:cstheme="minorHAnsi"/>
        </w:rPr>
        <w:t>In the</w:t>
      </w:r>
      <w:r w:rsidRPr="002E0C57">
        <w:rPr>
          <w:rFonts w:cstheme="minorHAnsi"/>
          <w:b/>
          <w:bCs/>
          <w:color w:val="4F81BD" w:themeColor="accent1"/>
        </w:rPr>
        <w:t xml:space="preserve"> </w:t>
      </w:r>
      <w:r w:rsidRPr="002E0C57">
        <w:rPr>
          <w:rFonts w:cstheme="minorHAnsi"/>
        </w:rPr>
        <w:t>fall of 20</w:t>
      </w:r>
      <w:r w:rsidR="00CF46EE" w:rsidRPr="002E0C57">
        <w:rPr>
          <w:rFonts w:cstheme="minorHAnsi"/>
        </w:rPr>
        <w:t>19</w:t>
      </w:r>
      <w:r w:rsidRPr="002E0C57">
        <w:rPr>
          <w:rFonts w:cstheme="minorHAnsi"/>
        </w:rPr>
        <w:t xml:space="preserve"> </w:t>
      </w:r>
      <w:r w:rsidR="00BE10FA" w:rsidRPr="002E0C57">
        <w:rPr>
          <w:rFonts w:cstheme="minorHAnsi"/>
        </w:rPr>
        <w:t>members of the state team began meeting with a former adult educat</w:t>
      </w:r>
      <w:r w:rsidR="00CF46EE" w:rsidRPr="002E0C57">
        <w:rPr>
          <w:rFonts w:cstheme="minorHAnsi"/>
        </w:rPr>
        <w:t xml:space="preserve">or </w:t>
      </w:r>
      <w:r w:rsidR="00B61F32" w:rsidRPr="002E0C57">
        <w:rPr>
          <w:rFonts w:cstheme="minorHAnsi"/>
        </w:rPr>
        <w:t xml:space="preserve">to discuss her company, </w:t>
      </w:r>
      <w:r w:rsidR="000361B8" w:rsidRPr="002E0C57">
        <w:rPr>
          <w:rFonts w:cstheme="minorHAnsi"/>
        </w:rPr>
        <w:t>Maine Intercultu</w:t>
      </w:r>
      <w:r w:rsidR="00CC085B" w:rsidRPr="002E0C57">
        <w:rPr>
          <w:rFonts w:cstheme="minorHAnsi"/>
        </w:rPr>
        <w:t>r</w:t>
      </w:r>
      <w:r w:rsidR="000361B8" w:rsidRPr="002E0C57">
        <w:rPr>
          <w:rFonts w:cstheme="minorHAnsi"/>
        </w:rPr>
        <w:t>al Com</w:t>
      </w:r>
      <w:r w:rsidR="00CC085B" w:rsidRPr="002E0C57">
        <w:rPr>
          <w:rFonts w:cstheme="minorHAnsi"/>
        </w:rPr>
        <w:t>munication Consultants</w:t>
      </w:r>
      <w:r w:rsidR="00E43C92" w:rsidRPr="002E0C57">
        <w:rPr>
          <w:rFonts w:cstheme="minorHAnsi"/>
        </w:rPr>
        <w:t>,</w:t>
      </w:r>
      <w:r w:rsidR="00CC085B" w:rsidRPr="002E0C57">
        <w:rPr>
          <w:rFonts w:cstheme="minorHAnsi"/>
        </w:rPr>
        <w:t xml:space="preserve"> </w:t>
      </w:r>
      <w:r w:rsidR="00647617">
        <w:rPr>
          <w:rFonts w:cstheme="minorHAnsi"/>
        </w:rPr>
        <w:t xml:space="preserve">regarding </w:t>
      </w:r>
      <w:r w:rsidR="00E43C92" w:rsidRPr="002E0C57">
        <w:rPr>
          <w:rFonts w:cstheme="minorHAnsi"/>
        </w:rPr>
        <w:t xml:space="preserve">working with local </w:t>
      </w:r>
      <w:r w:rsidR="00232567" w:rsidRPr="002E0C57">
        <w:rPr>
          <w:rFonts w:cstheme="minorHAnsi"/>
        </w:rPr>
        <w:t xml:space="preserve">adult education </w:t>
      </w:r>
      <w:r w:rsidR="00E43C92" w:rsidRPr="002E0C57">
        <w:rPr>
          <w:rFonts w:cstheme="minorHAnsi"/>
        </w:rPr>
        <w:t>program</w:t>
      </w:r>
      <w:r w:rsidR="00232567" w:rsidRPr="002E0C57">
        <w:rPr>
          <w:rFonts w:cstheme="minorHAnsi"/>
        </w:rPr>
        <w:t>s</w:t>
      </w:r>
      <w:r w:rsidR="00E43C92" w:rsidRPr="002E0C57">
        <w:rPr>
          <w:rFonts w:cstheme="minorHAnsi"/>
        </w:rPr>
        <w:t xml:space="preserve"> and WIOA partner agency staff. Plans were underway to </w:t>
      </w:r>
      <w:r w:rsidR="00CF46EE" w:rsidRPr="002E0C57">
        <w:rPr>
          <w:rFonts w:cstheme="minorHAnsi"/>
        </w:rPr>
        <w:t>do training in the spring of 2020</w:t>
      </w:r>
      <w:r w:rsidR="002A0502" w:rsidRPr="002E0C57">
        <w:rPr>
          <w:rFonts w:cstheme="minorHAnsi"/>
        </w:rPr>
        <w:t xml:space="preserve"> on intercultural development. Unfortunately</w:t>
      </w:r>
      <w:r w:rsidR="006927DA" w:rsidRPr="002E0C57">
        <w:rPr>
          <w:rFonts w:cstheme="minorHAnsi"/>
        </w:rPr>
        <w:t>,</w:t>
      </w:r>
      <w:r w:rsidR="002A0502" w:rsidRPr="002E0C57">
        <w:rPr>
          <w:rFonts w:cstheme="minorHAnsi"/>
        </w:rPr>
        <w:t xml:space="preserve"> the training </w:t>
      </w:r>
      <w:r w:rsidR="00937932" w:rsidRPr="002E0C57">
        <w:rPr>
          <w:rFonts w:cstheme="minorHAnsi"/>
        </w:rPr>
        <w:t xml:space="preserve">did not happen but to temporarily fill the </w:t>
      </w:r>
      <w:r w:rsidR="00647617">
        <w:rPr>
          <w:rFonts w:cstheme="minorHAnsi"/>
        </w:rPr>
        <w:t xml:space="preserve">need, </w:t>
      </w:r>
      <w:r w:rsidR="00937932" w:rsidRPr="002E0C57">
        <w:rPr>
          <w:rFonts w:cstheme="minorHAnsi"/>
        </w:rPr>
        <w:t xml:space="preserve">local educators were encouraged to participate </w:t>
      </w:r>
      <w:r w:rsidR="006927DA" w:rsidRPr="002E0C57">
        <w:rPr>
          <w:rFonts w:cstheme="minorHAnsi"/>
        </w:rPr>
        <w:t>in other remote offerings</w:t>
      </w:r>
      <w:r w:rsidR="00647617">
        <w:rPr>
          <w:rFonts w:cstheme="minorHAnsi"/>
        </w:rPr>
        <w:t xml:space="preserve"> regarding multicultural awareness, sensitivity and implicit bias.</w:t>
      </w:r>
    </w:p>
    <w:p w14:paraId="2F41943F" w14:textId="0310BB5F" w:rsidR="00EF68A8" w:rsidRPr="002E0C57" w:rsidRDefault="00364922" w:rsidP="001E21C4">
      <w:pPr>
        <w:rPr>
          <w:rFonts w:cstheme="minorHAnsi"/>
        </w:rPr>
      </w:pPr>
      <w:r w:rsidRPr="002E0C57">
        <w:rPr>
          <w:rFonts w:cstheme="minorHAnsi"/>
        </w:rPr>
        <w:t xml:space="preserve">COVID-19 really clarified how deeply divided our state is on access to technology and </w:t>
      </w:r>
      <w:r w:rsidR="00DF4BC3" w:rsidRPr="002E0C57">
        <w:rPr>
          <w:rFonts w:cstheme="minorHAnsi"/>
        </w:rPr>
        <w:t xml:space="preserve">devices and internet connectivity. Several surveys were conducted with directors to determine the technological needs of their learners. </w:t>
      </w:r>
      <w:r w:rsidR="003345A3" w:rsidRPr="002E0C57">
        <w:rPr>
          <w:rFonts w:cstheme="minorHAnsi"/>
        </w:rPr>
        <w:t xml:space="preserve">We learned that not only were many of our students unable to access online learning, but so were many of our teachers who had relied on using </w:t>
      </w:r>
      <w:r w:rsidR="006B1650" w:rsidRPr="002E0C57">
        <w:rPr>
          <w:rFonts w:cstheme="minorHAnsi"/>
        </w:rPr>
        <w:t xml:space="preserve">computers and internet at their schools. </w:t>
      </w:r>
      <w:r w:rsidR="00350043" w:rsidRPr="002E0C57">
        <w:rPr>
          <w:rFonts w:cstheme="minorHAnsi"/>
        </w:rPr>
        <w:t xml:space="preserve">Many </w:t>
      </w:r>
      <w:r w:rsidR="006B1650" w:rsidRPr="002E0C57">
        <w:rPr>
          <w:rFonts w:cstheme="minorHAnsi"/>
        </w:rPr>
        <w:t xml:space="preserve">ESOL learners were </w:t>
      </w:r>
      <w:r w:rsidR="00350043" w:rsidRPr="002E0C57">
        <w:rPr>
          <w:rFonts w:cstheme="minorHAnsi"/>
        </w:rPr>
        <w:t>frustrated by the lack of curricula compatible with</w:t>
      </w:r>
      <w:r w:rsidR="007A722D">
        <w:rPr>
          <w:rFonts w:cstheme="minorHAnsi"/>
        </w:rPr>
        <w:t xml:space="preserve"> their</w:t>
      </w:r>
      <w:r w:rsidR="00350043" w:rsidRPr="002E0C57">
        <w:rPr>
          <w:rFonts w:cstheme="minorHAnsi"/>
        </w:rPr>
        <w:t xml:space="preserve"> mobile devices. </w:t>
      </w:r>
      <w:r w:rsidR="00B8774D" w:rsidRPr="002E0C57">
        <w:rPr>
          <w:rFonts w:cstheme="minorHAnsi"/>
        </w:rPr>
        <w:t xml:space="preserve">Certificate students were unable to </w:t>
      </w:r>
      <w:r w:rsidR="00C34BA3" w:rsidRPr="002E0C57">
        <w:rPr>
          <w:rFonts w:cstheme="minorHAnsi"/>
        </w:rPr>
        <w:t xml:space="preserve">continue job training programs and high school </w:t>
      </w:r>
      <w:r w:rsidR="007A722D">
        <w:rPr>
          <w:rFonts w:cstheme="minorHAnsi"/>
        </w:rPr>
        <w:t xml:space="preserve">equivalency </w:t>
      </w:r>
      <w:r w:rsidR="00C34BA3" w:rsidRPr="002E0C57">
        <w:rPr>
          <w:rFonts w:cstheme="minorHAnsi"/>
        </w:rPr>
        <w:t>testing stopped. Programs diverted very limited financial and human resources to check in with learners to help them stay not just academically, but emotionally connected with their programs.</w:t>
      </w:r>
    </w:p>
    <w:p w14:paraId="6B270164" w14:textId="079EA3BC" w:rsidR="00C34BA3" w:rsidRPr="002E0C57" w:rsidRDefault="00C34BA3" w:rsidP="001E21C4">
      <w:pPr>
        <w:rPr>
          <w:rFonts w:cstheme="minorHAnsi"/>
        </w:rPr>
      </w:pPr>
      <w:r w:rsidRPr="002E0C57">
        <w:rPr>
          <w:rFonts w:cstheme="minorHAnsi"/>
        </w:rPr>
        <w:t>Through the result of a private donation</w:t>
      </w:r>
      <w:r w:rsidR="00952D0F">
        <w:rPr>
          <w:rFonts w:cstheme="minorHAnsi"/>
        </w:rPr>
        <w:t xml:space="preserve">, </w:t>
      </w:r>
      <w:r w:rsidRPr="002E0C57">
        <w:rPr>
          <w:rFonts w:cstheme="minorHAnsi"/>
        </w:rPr>
        <w:t xml:space="preserve">CARES Act and GEER funding, </w:t>
      </w:r>
      <w:r w:rsidR="00C74245" w:rsidRPr="002E0C57">
        <w:rPr>
          <w:rFonts w:cstheme="minorHAnsi"/>
        </w:rPr>
        <w:t xml:space="preserve">several hundred computers, tablets and hotspots were distributed to </w:t>
      </w:r>
      <w:r w:rsidR="0065409D">
        <w:rPr>
          <w:rFonts w:cstheme="minorHAnsi"/>
        </w:rPr>
        <w:t xml:space="preserve">adult </w:t>
      </w:r>
      <w:r w:rsidR="00C74245" w:rsidRPr="002E0C57">
        <w:rPr>
          <w:rFonts w:cstheme="minorHAnsi"/>
        </w:rPr>
        <w:t>learners with the greatest need.</w:t>
      </w:r>
    </w:p>
    <w:p w14:paraId="4EDF385D" w14:textId="191016AB" w:rsidR="00F61FD2" w:rsidRPr="002E0C57" w:rsidRDefault="003D64CC" w:rsidP="001E21C4">
      <w:pPr>
        <w:autoSpaceDE w:val="0"/>
        <w:autoSpaceDN w:val="0"/>
        <w:rPr>
          <w:rFonts w:cstheme="minorHAnsi"/>
          <w:bCs/>
        </w:rPr>
      </w:pPr>
      <w:r w:rsidRPr="002E0C57">
        <w:rPr>
          <w:rFonts w:cstheme="minorHAnsi"/>
          <w:bCs/>
        </w:rPr>
        <w:t xml:space="preserve">In </w:t>
      </w:r>
      <w:r w:rsidR="00A154E5">
        <w:rPr>
          <w:rFonts w:cstheme="minorHAnsi"/>
          <w:bCs/>
        </w:rPr>
        <w:t>PY19</w:t>
      </w:r>
      <w:r w:rsidRPr="002E0C57">
        <w:rPr>
          <w:rFonts w:cstheme="minorHAnsi"/>
          <w:bCs/>
        </w:rPr>
        <w:t xml:space="preserve"> we increased</w:t>
      </w:r>
      <w:r w:rsidR="00A154E5">
        <w:rPr>
          <w:rFonts w:cstheme="minorHAnsi"/>
          <w:bCs/>
        </w:rPr>
        <w:t xml:space="preserve"> </w:t>
      </w:r>
      <w:r w:rsidRPr="002E0C57">
        <w:rPr>
          <w:rFonts w:cstheme="minorHAnsi"/>
          <w:bCs/>
        </w:rPr>
        <w:t xml:space="preserve">technical assistance </w:t>
      </w:r>
      <w:r w:rsidR="00757872" w:rsidRPr="002E0C57">
        <w:rPr>
          <w:rFonts w:cstheme="minorHAnsi"/>
          <w:bCs/>
        </w:rPr>
        <w:t xml:space="preserve">aimed at </w:t>
      </w:r>
      <w:r w:rsidR="007D49EF" w:rsidRPr="002E0C57">
        <w:rPr>
          <w:rFonts w:cstheme="minorHAnsi"/>
          <w:bCs/>
        </w:rPr>
        <w:t xml:space="preserve">improving instruction </w:t>
      </w:r>
      <w:r w:rsidR="00584A61" w:rsidRPr="002E0C57">
        <w:rPr>
          <w:rFonts w:cstheme="minorHAnsi"/>
          <w:bCs/>
        </w:rPr>
        <w:t xml:space="preserve">in English Language Acquisition. As more local providers </w:t>
      </w:r>
      <w:r w:rsidR="00ED57ED" w:rsidRPr="002E0C57">
        <w:rPr>
          <w:rFonts w:cstheme="minorHAnsi"/>
          <w:bCs/>
        </w:rPr>
        <w:t xml:space="preserve">began serving English learners, we identified the need for </w:t>
      </w:r>
      <w:r w:rsidR="00915622" w:rsidRPr="002E0C57">
        <w:rPr>
          <w:rFonts w:cstheme="minorHAnsi"/>
          <w:bCs/>
        </w:rPr>
        <w:t>assistance with teaching adult English learners</w:t>
      </w:r>
      <w:r w:rsidR="00E81D06" w:rsidRPr="002E0C57">
        <w:rPr>
          <w:rFonts w:cstheme="minorHAnsi"/>
          <w:bCs/>
        </w:rPr>
        <w:t xml:space="preserve">, including </w:t>
      </w:r>
      <w:r w:rsidR="0095770A" w:rsidRPr="002E0C57">
        <w:rPr>
          <w:rFonts w:cstheme="minorHAnsi"/>
          <w:bCs/>
        </w:rPr>
        <w:t xml:space="preserve">implementation of the English Language Proficiency standards, integrating mathematics into the ELA classroom, </w:t>
      </w:r>
      <w:r w:rsidR="00323924" w:rsidRPr="002E0C57">
        <w:rPr>
          <w:rFonts w:cstheme="minorHAnsi"/>
          <w:bCs/>
        </w:rPr>
        <w:t xml:space="preserve">and </w:t>
      </w:r>
      <w:r w:rsidR="00F61FD2" w:rsidRPr="002E0C57">
        <w:rPr>
          <w:rFonts w:cstheme="minorHAnsi"/>
          <w:bCs/>
        </w:rPr>
        <w:t>increasing rigor in ESOL instruction.</w:t>
      </w:r>
      <w:r w:rsidR="00757872" w:rsidRPr="002E0C57">
        <w:rPr>
          <w:rFonts w:cstheme="minorHAnsi"/>
          <w:bCs/>
        </w:rPr>
        <w:t xml:space="preserve"> </w:t>
      </w:r>
    </w:p>
    <w:p w14:paraId="4F123482" w14:textId="0561EFD2" w:rsidR="00542BAE" w:rsidRPr="002E0C57" w:rsidRDefault="00B16020" w:rsidP="001E21C4">
      <w:pPr>
        <w:autoSpaceDE w:val="0"/>
        <w:autoSpaceDN w:val="0"/>
        <w:rPr>
          <w:rFonts w:cstheme="minorHAnsi"/>
          <w:bCs/>
          <w:color w:val="FF0000"/>
        </w:rPr>
      </w:pPr>
      <w:r w:rsidRPr="002E0C57">
        <w:rPr>
          <w:rFonts w:cstheme="minorHAnsi"/>
          <w:bCs/>
        </w:rPr>
        <w:t>Additionally, the</w:t>
      </w:r>
      <w:r w:rsidR="00A04F26" w:rsidRPr="002E0C57">
        <w:rPr>
          <w:rFonts w:cstheme="minorHAnsi"/>
          <w:bCs/>
        </w:rPr>
        <w:t xml:space="preserve"> </w:t>
      </w:r>
      <w:r w:rsidR="00A154E5">
        <w:rPr>
          <w:rFonts w:cstheme="minorHAnsi"/>
          <w:bCs/>
        </w:rPr>
        <w:t>s</w:t>
      </w:r>
      <w:r w:rsidR="00A04F26" w:rsidRPr="002E0C57">
        <w:rPr>
          <w:rFonts w:cstheme="minorHAnsi"/>
          <w:bCs/>
        </w:rPr>
        <w:t>tate</w:t>
      </w:r>
      <w:r w:rsidR="00A154E5">
        <w:rPr>
          <w:rFonts w:cstheme="minorHAnsi"/>
          <w:bCs/>
        </w:rPr>
        <w:t xml:space="preserve"> o</w:t>
      </w:r>
      <w:r w:rsidR="00A04F26" w:rsidRPr="002E0C57">
        <w:rPr>
          <w:rFonts w:cstheme="minorHAnsi"/>
          <w:bCs/>
        </w:rPr>
        <w:t>ffice offered the</w:t>
      </w:r>
      <w:r w:rsidRPr="002E0C57">
        <w:rPr>
          <w:rFonts w:cstheme="minorHAnsi"/>
          <w:bCs/>
        </w:rPr>
        <w:t xml:space="preserve"> following </w:t>
      </w:r>
      <w:r w:rsidR="001B4788">
        <w:rPr>
          <w:rFonts w:cstheme="minorHAnsi"/>
          <w:bCs/>
        </w:rPr>
        <w:t>PY19</w:t>
      </w:r>
      <w:r w:rsidRPr="002E0C57">
        <w:rPr>
          <w:rFonts w:cstheme="minorHAnsi"/>
          <w:bCs/>
        </w:rPr>
        <w:t xml:space="preserve"> </w:t>
      </w:r>
      <w:r w:rsidR="00A04F26" w:rsidRPr="002E0C57">
        <w:rPr>
          <w:rFonts w:cstheme="minorHAnsi"/>
          <w:bCs/>
        </w:rPr>
        <w:t xml:space="preserve">events based </w:t>
      </w:r>
      <w:r w:rsidR="00542BAE" w:rsidRPr="002E0C57">
        <w:rPr>
          <w:rFonts w:cstheme="minorHAnsi"/>
          <w:bCs/>
        </w:rPr>
        <w:t>on the most rigorous or scientifically valid research available and appropriate</w:t>
      </w:r>
      <w:r w:rsidR="00A04F26" w:rsidRPr="002E0C57">
        <w:rPr>
          <w:rFonts w:cstheme="minorHAnsi"/>
          <w:bCs/>
        </w:rPr>
        <w:t>:</w:t>
      </w:r>
    </w:p>
    <w:p w14:paraId="08752E48" w14:textId="71318892" w:rsidR="00542BAE" w:rsidRPr="002E0C57" w:rsidRDefault="00542BAE" w:rsidP="001E21C4">
      <w:pPr>
        <w:pStyle w:val="ListParagraph"/>
        <w:numPr>
          <w:ilvl w:val="0"/>
          <w:numId w:val="1"/>
        </w:numPr>
        <w:autoSpaceDE w:val="0"/>
        <w:autoSpaceDN w:val="0"/>
        <w:spacing w:line="276" w:lineRule="auto"/>
        <w:rPr>
          <w:rFonts w:asciiTheme="minorHAnsi" w:hAnsiTheme="minorHAnsi" w:cstheme="minorHAnsi"/>
          <w:b/>
          <w:bCs/>
        </w:rPr>
      </w:pPr>
      <w:r w:rsidRPr="002E0C57">
        <w:rPr>
          <w:rFonts w:asciiTheme="minorHAnsi" w:hAnsiTheme="minorHAnsi" w:cstheme="minorHAnsi"/>
          <w:b/>
          <w:bCs/>
        </w:rPr>
        <w:t xml:space="preserve">Reading, writing, speaking: </w:t>
      </w:r>
      <w:r w:rsidRPr="002E0C57">
        <w:rPr>
          <w:rFonts w:asciiTheme="minorHAnsi" w:hAnsiTheme="minorHAnsi" w:cstheme="minorHAnsi"/>
          <w:bCs/>
        </w:rPr>
        <w:t>CCRS-SIA ELA/Literacy Implementation</w:t>
      </w:r>
      <w:r w:rsidR="00F5269C" w:rsidRPr="002E0C57">
        <w:rPr>
          <w:rFonts w:asciiTheme="minorHAnsi" w:hAnsiTheme="minorHAnsi" w:cstheme="minorHAnsi"/>
          <w:bCs/>
        </w:rPr>
        <w:t>;</w:t>
      </w:r>
      <w:r w:rsidRPr="002E0C57">
        <w:rPr>
          <w:rFonts w:asciiTheme="minorHAnsi" w:hAnsiTheme="minorHAnsi" w:cstheme="minorHAnsi"/>
          <w:bCs/>
        </w:rPr>
        <w:t xml:space="preserve"> Reading Apprenticeship, Part 1 &amp; 2</w:t>
      </w:r>
      <w:r w:rsidR="00F5269C" w:rsidRPr="002E0C57">
        <w:rPr>
          <w:rFonts w:asciiTheme="minorHAnsi" w:hAnsiTheme="minorHAnsi" w:cstheme="minorHAnsi"/>
          <w:bCs/>
        </w:rPr>
        <w:t>;</w:t>
      </w:r>
      <w:r w:rsidRPr="002E0C57">
        <w:rPr>
          <w:rFonts w:asciiTheme="minorHAnsi" w:hAnsiTheme="minorHAnsi" w:cstheme="minorHAnsi"/>
          <w:bCs/>
        </w:rPr>
        <w:t xml:space="preserve"> </w:t>
      </w:r>
      <w:r w:rsidR="00636DCC" w:rsidRPr="002E0C57">
        <w:rPr>
          <w:rFonts w:asciiTheme="minorHAnsi" w:hAnsiTheme="minorHAnsi" w:cstheme="minorHAnsi"/>
          <w:bCs/>
        </w:rPr>
        <w:t>Reading Apprenticeship in Writing</w:t>
      </w:r>
      <w:r w:rsidR="00F5269C" w:rsidRPr="002E0C57">
        <w:rPr>
          <w:rFonts w:asciiTheme="minorHAnsi" w:hAnsiTheme="minorHAnsi" w:cstheme="minorHAnsi"/>
          <w:bCs/>
        </w:rPr>
        <w:t>;</w:t>
      </w:r>
      <w:r w:rsidR="00636DCC" w:rsidRPr="002E0C57">
        <w:rPr>
          <w:rFonts w:asciiTheme="minorHAnsi" w:hAnsiTheme="minorHAnsi" w:cstheme="minorHAnsi"/>
          <w:bCs/>
        </w:rPr>
        <w:t xml:space="preserve"> </w:t>
      </w:r>
      <w:r w:rsidRPr="002E0C57">
        <w:rPr>
          <w:rFonts w:asciiTheme="minorHAnsi" w:hAnsiTheme="minorHAnsi" w:cstheme="minorHAnsi"/>
          <w:bCs/>
        </w:rPr>
        <w:t>Seamless: Soft Skills in the Classroom and Beyond (online)</w:t>
      </w:r>
    </w:p>
    <w:p w14:paraId="127D2579" w14:textId="0E5996ED" w:rsidR="00542BAE" w:rsidRPr="002E0C57" w:rsidRDefault="00542BAE" w:rsidP="001E21C4">
      <w:pPr>
        <w:pStyle w:val="ListParagraph"/>
        <w:numPr>
          <w:ilvl w:val="0"/>
          <w:numId w:val="1"/>
        </w:numPr>
        <w:autoSpaceDE w:val="0"/>
        <w:autoSpaceDN w:val="0"/>
        <w:spacing w:line="276" w:lineRule="auto"/>
        <w:rPr>
          <w:rFonts w:asciiTheme="minorHAnsi" w:hAnsiTheme="minorHAnsi" w:cstheme="minorHAnsi"/>
          <w:b/>
          <w:bCs/>
        </w:rPr>
      </w:pPr>
      <w:r w:rsidRPr="002E0C57">
        <w:rPr>
          <w:rFonts w:asciiTheme="minorHAnsi" w:hAnsiTheme="minorHAnsi" w:cstheme="minorHAnsi"/>
          <w:b/>
          <w:bCs/>
        </w:rPr>
        <w:t xml:space="preserve">Mathematics: </w:t>
      </w:r>
      <w:r w:rsidRPr="002E0C57">
        <w:rPr>
          <w:rFonts w:asciiTheme="minorHAnsi" w:hAnsiTheme="minorHAnsi" w:cstheme="minorHAnsi"/>
          <w:bCs/>
        </w:rPr>
        <w:t>CCRS-SIA Mathematics Implementation</w:t>
      </w:r>
      <w:r w:rsidR="00F5269C" w:rsidRPr="002E0C57">
        <w:rPr>
          <w:rFonts w:asciiTheme="minorHAnsi" w:hAnsiTheme="minorHAnsi" w:cstheme="minorHAnsi"/>
          <w:bCs/>
        </w:rPr>
        <w:t>;</w:t>
      </w:r>
      <w:r w:rsidR="00B471A5" w:rsidRPr="002E0C57">
        <w:rPr>
          <w:rFonts w:asciiTheme="minorHAnsi" w:hAnsiTheme="minorHAnsi" w:cstheme="minorHAnsi"/>
          <w:bCs/>
        </w:rPr>
        <w:t xml:space="preserve"> Mathematizing ESOL I: Integrating Whole Number</w:t>
      </w:r>
      <w:r w:rsidR="008A7D0D" w:rsidRPr="002E0C57">
        <w:rPr>
          <w:rFonts w:asciiTheme="minorHAnsi" w:hAnsiTheme="minorHAnsi" w:cstheme="minorHAnsi"/>
          <w:bCs/>
        </w:rPr>
        <w:t xml:space="preserve"> Operations</w:t>
      </w:r>
      <w:r w:rsidR="00F94DDF" w:rsidRPr="002E0C57">
        <w:rPr>
          <w:rFonts w:asciiTheme="minorHAnsi" w:hAnsiTheme="minorHAnsi" w:cstheme="minorHAnsi"/>
          <w:bCs/>
        </w:rPr>
        <w:t>; Mathematizing ESOL II: Integrating Benchmark Fractions, Percentages, and Decimals; Integrating</w:t>
      </w:r>
      <w:r w:rsidR="00C41489" w:rsidRPr="002E0C57">
        <w:rPr>
          <w:rFonts w:asciiTheme="minorHAnsi" w:hAnsiTheme="minorHAnsi" w:cstheme="minorHAnsi"/>
          <w:bCs/>
        </w:rPr>
        <w:t xml:space="preserve"> Math into Employment for ELLs</w:t>
      </w:r>
    </w:p>
    <w:p w14:paraId="661357F7" w14:textId="07A9D273" w:rsidR="00542BAE" w:rsidRPr="002E0C57" w:rsidRDefault="00542BAE" w:rsidP="001E21C4">
      <w:pPr>
        <w:pStyle w:val="ListParagraph"/>
        <w:numPr>
          <w:ilvl w:val="0"/>
          <w:numId w:val="1"/>
        </w:numPr>
        <w:autoSpaceDE w:val="0"/>
        <w:autoSpaceDN w:val="0"/>
        <w:spacing w:line="276" w:lineRule="auto"/>
        <w:rPr>
          <w:rFonts w:asciiTheme="minorHAnsi" w:hAnsiTheme="minorHAnsi" w:cstheme="minorHAnsi"/>
          <w:bCs/>
        </w:rPr>
      </w:pPr>
      <w:r w:rsidRPr="002E0C57">
        <w:rPr>
          <w:rFonts w:asciiTheme="minorHAnsi" w:hAnsiTheme="minorHAnsi" w:cstheme="minorHAnsi"/>
          <w:b/>
          <w:bCs/>
        </w:rPr>
        <w:t xml:space="preserve">English Language Acquisition: </w:t>
      </w:r>
      <w:r w:rsidR="00C95879" w:rsidRPr="002E0C57">
        <w:rPr>
          <w:rFonts w:asciiTheme="minorHAnsi" w:hAnsiTheme="minorHAnsi" w:cstheme="minorHAnsi"/>
        </w:rPr>
        <w:t>Serving the English Language Learner</w:t>
      </w:r>
      <w:r w:rsidR="00F5269C" w:rsidRPr="002E0C57">
        <w:rPr>
          <w:rFonts w:asciiTheme="minorHAnsi" w:hAnsiTheme="minorHAnsi" w:cstheme="minorHAnsi"/>
        </w:rPr>
        <w:t xml:space="preserve">; Module 1: </w:t>
      </w:r>
      <w:r w:rsidRPr="002E0C57">
        <w:rPr>
          <w:rFonts w:asciiTheme="minorHAnsi" w:hAnsiTheme="minorHAnsi" w:cstheme="minorHAnsi"/>
          <w:bCs/>
        </w:rPr>
        <w:t>Introduction to the English Language Proficiency Standards</w:t>
      </w:r>
      <w:r w:rsidR="00F5269C" w:rsidRPr="002E0C57">
        <w:rPr>
          <w:rFonts w:asciiTheme="minorHAnsi" w:hAnsiTheme="minorHAnsi" w:cstheme="minorHAnsi"/>
          <w:bCs/>
        </w:rPr>
        <w:t xml:space="preserve">; </w:t>
      </w:r>
      <w:r w:rsidR="006B7F2F" w:rsidRPr="002E0C57">
        <w:rPr>
          <w:rFonts w:asciiTheme="minorHAnsi" w:hAnsiTheme="minorHAnsi" w:cstheme="minorHAnsi"/>
          <w:bCs/>
        </w:rPr>
        <w:t>Nexus of Rigor</w:t>
      </w:r>
      <w:r w:rsidR="00F94DDF" w:rsidRPr="002E0C57">
        <w:rPr>
          <w:rFonts w:asciiTheme="minorHAnsi" w:hAnsiTheme="minorHAnsi" w:cstheme="minorHAnsi"/>
          <w:bCs/>
        </w:rPr>
        <w:t xml:space="preserve"> and Adult ESOL Instruction</w:t>
      </w:r>
    </w:p>
    <w:p w14:paraId="0F2283BD" w14:textId="4D3BD3CA" w:rsidR="00542BAE" w:rsidRPr="002E0C57" w:rsidRDefault="00542BAE" w:rsidP="001E21C4">
      <w:pPr>
        <w:pStyle w:val="ListParagraph"/>
        <w:numPr>
          <w:ilvl w:val="0"/>
          <w:numId w:val="1"/>
        </w:numPr>
        <w:autoSpaceDE w:val="0"/>
        <w:autoSpaceDN w:val="0"/>
        <w:spacing w:line="276" w:lineRule="auto"/>
        <w:rPr>
          <w:rFonts w:asciiTheme="minorHAnsi" w:hAnsiTheme="minorHAnsi" w:cstheme="minorHAnsi"/>
          <w:bCs/>
        </w:rPr>
      </w:pPr>
      <w:r w:rsidRPr="002E0C57">
        <w:rPr>
          <w:rFonts w:asciiTheme="minorHAnsi" w:hAnsiTheme="minorHAnsi" w:cstheme="minorHAnsi"/>
          <w:b/>
          <w:bCs/>
        </w:rPr>
        <w:t>Distance Education:</w:t>
      </w:r>
      <w:r w:rsidRPr="002E0C57">
        <w:rPr>
          <w:rFonts w:asciiTheme="minorHAnsi" w:hAnsiTheme="minorHAnsi" w:cstheme="minorHAnsi"/>
          <w:bCs/>
        </w:rPr>
        <w:t xml:space="preserve"> </w:t>
      </w:r>
      <w:r w:rsidR="004F08E8" w:rsidRPr="002E0C57">
        <w:rPr>
          <w:rFonts w:asciiTheme="minorHAnsi" w:hAnsiTheme="minorHAnsi" w:cstheme="minorHAnsi"/>
          <w:bCs/>
        </w:rPr>
        <w:t>Digital Citizenship: Preparing the 21</w:t>
      </w:r>
      <w:r w:rsidR="004F08E8" w:rsidRPr="002E0C57">
        <w:rPr>
          <w:rFonts w:asciiTheme="minorHAnsi" w:hAnsiTheme="minorHAnsi" w:cstheme="minorHAnsi"/>
          <w:bCs/>
          <w:vertAlign w:val="superscript"/>
        </w:rPr>
        <w:t>st</w:t>
      </w:r>
      <w:r w:rsidR="004F08E8" w:rsidRPr="002E0C57">
        <w:rPr>
          <w:rFonts w:asciiTheme="minorHAnsi" w:hAnsiTheme="minorHAnsi" w:cstheme="minorHAnsi"/>
          <w:bCs/>
        </w:rPr>
        <w:t xml:space="preserve"> Century Citizen for the 21</w:t>
      </w:r>
      <w:r w:rsidR="006B7F2F" w:rsidRPr="002E0C57">
        <w:rPr>
          <w:rFonts w:asciiTheme="minorHAnsi" w:hAnsiTheme="minorHAnsi" w:cstheme="minorHAnsi"/>
          <w:bCs/>
          <w:vertAlign w:val="superscript"/>
        </w:rPr>
        <w:t>st</w:t>
      </w:r>
      <w:r w:rsidR="006B7F2F" w:rsidRPr="002E0C57">
        <w:rPr>
          <w:rFonts w:asciiTheme="minorHAnsi" w:hAnsiTheme="minorHAnsi" w:cstheme="minorHAnsi"/>
          <w:bCs/>
        </w:rPr>
        <w:t xml:space="preserve"> Century World</w:t>
      </w:r>
      <w:r w:rsidR="00F94DDF" w:rsidRPr="002E0C57">
        <w:rPr>
          <w:rFonts w:asciiTheme="minorHAnsi" w:hAnsiTheme="minorHAnsi" w:cstheme="minorHAnsi"/>
          <w:bCs/>
        </w:rPr>
        <w:t xml:space="preserve"> (in-person and online)</w:t>
      </w:r>
    </w:p>
    <w:p w14:paraId="3A249771" w14:textId="5CC8F1D4" w:rsidR="00542BAE" w:rsidRPr="00864E5E" w:rsidRDefault="00542BAE" w:rsidP="00B54E58">
      <w:pPr>
        <w:pStyle w:val="ListParagraph"/>
        <w:numPr>
          <w:ilvl w:val="0"/>
          <w:numId w:val="1"/>
        </w:numPr>
        <w:autoSpaceDE w:val="0"/>
        <w:autoSpaceDN w:val="0"/>
        <w:spacing w:line="276" w:lineRule="auto"/>
        <w:rPr>
          <w:rFonts w:asciiTheme="minorHAnsi" w:hAnsiTheme="minorHAnsi" w:cstheme="minorHAnsi"/>
          <w:b/>
          <w:bCs/>
        </w:rPr>
      </w:pPr>
      <w:r w:rsidRPr="002E0C57">
        <w:rPr>
          <w:rFonts w:asciiTheme="minorHAnsi" w:hAnsiTheme="minorHAnsi" w:cstheme="minorHAnsi"/>
          <w:b/>
          <w:bCs/>
        </w:rPr>
        <w:lastRenderedPageBreak/>
        <w:t xml:space="preserve">Staff Training:  </w:t>
      </w:r>
      <w:r w:rsidRPr="002E0C57">
        <w:rPr>
          <w:rFonts w:asciiTheme="minorHAnsi" w:hAnsiTheme="minorHAnsi" w:cstheme="minorHAnsi"/>
          <w:bCs/>
        </w:rPr>
        <w:t>World of Work Inventory</w:t>
      </w:r>
      <w:r w:rsidR="001B4788">
        <w:rPr>
          <w:rFonts w:asciiTheme="minorHAnsi" w:hAnsiTheme="minorHAnsi" w:cstheme="minorHAnsi"/>
          <w:bCs/>
        </w:rPr>
        <w:t xml:space="preserve"> (WOWI)</w:t>
      </w:r>
      <w:r w:rsidRPr="002E0C57">
        <w:rPr>
          <w:rFonts w:asciiTheme="minorHAnsi" w:hAnsiTheme="minorHAnsi" w:cstheme="minorHAnsi"/>
          <w:bCs/>
        </w:rPr>
        <w:t xml:space="preserve"> Level 1 &amp; 2 Training</w:t>
      </w:r>
      <w:r w:rsidR="00F5269C" w:rsidRPr="002E0C57">
        <w:rPr>
          <w:rFonts w:asciiTheme="minorHAnsi" w:hAnsiTheme="minorHAnsi" w:cstheme="minorHAnsi"/>
          <w:bCs/>
        </w:rPr>
        <w:t>;</w:t>
      </w:r>
      <w:r w:rsidRPr="002E0C57">
        <w:rPr>
          <w:rFonts w:asciiTheme="minorHAnsi" w:hAnsiTheme="minorHAnsi" w:cstheme="minorHAnsi"/>
          <w:bCs/>
        </w:rPr>
        <w:t xml:space="preserve"> Learner Accessibility</w:t>
      </w:r>
      <w:r w:rsidR="00F5269C" w:rsidRPr="002E0C57">
        <w:rPr>
          <w:rFonts w:asciiTheme="minorHAnsi" w:hAnsiTheme="minorHAnsi" w:cstheme="minorHAnsi"/>
          <w:bCs/>
        </w:rPr>
        <w:t xml:space="preserve">; </w:t>
      </w:r>
      <w:r w:rsidRPr="002E0C57">
        <w:rPr>
          <w:rFonts w:asciiTheme="minorHAnsi" w:hAnsiTheme="minorHAnsi" w:cstheme="minorHAnsi"/>
          <w:bCs/>
        </w:rPr>
        <w:t>Universal Design for Learning</w:t>
      </w:r>
      <w:r w:rsidR="00F5269C" w:rsidRPr="002E0C57">
        <w:rPr>
          <w:rFonts w:asciiTheme="minorHAnsi" w:hAnsiTheme="minorHAnsi" w:cstheme="minorHAnsi"/>
          <w:bCs/>
        </w:rPr>
        <w:t>;</w:t>
      </w:r>
      <w:r w:rsidRPr="002E0C57">
        <w:rPr>
          <w:rFonts w:asciiTheme="minorHAnsi" w:hAnsiTheme="minorHAnsi" w:cstheme="minorHAnsi"/>
          <w:bCs/>
        </w:rPr>
        <w:t xml:space="preserve"> Career and Education Advising</w:t>
      </w:r>
      <w:r w:rsidR="00F5269C" w:rsidRPr="002E0C57">
        <w:rPr>
          <w:rFonts w:asciiTheme="minorHAnsi" w:hAnsiTheme="minorHAnsi" w:cstheme="minorHAnsi"/>
          <w:bCs/>
        </w:rPr>
        <w:t>;</w:t>
      </w:r>
      <w:r w:rsidRPr="002E0C57">
        <w:rPr>
          <w:rFonts w:asciiTheme="minorHAnsi" w:hAnsiTheme="minorHAnsi" w:cstheme="minorHAnsi"/>
          <w:bCs/>
        </w:rPr>
        <w:t xml:space="preserve"> WorkReady Facilitator</w:t>
      </w:r>
      <w:r w:rsidR="00B54E58" w:rsidRPr="00864E5E">
        <w:rPr>
          <w:rFonts w:cstheme="minorHAnsi"/>
          <w:bCs/>
        </w:rPr>
        <w:t xml:space="preserve"> </w:t>
      </w:r>
      <w:r w:rsidRPr="00864E5E">
        <w:rPr>
          <w:rFonts w:cstheme="minorHAnsi"/>
          <w:bCs/>
        </w:rPr>
        <w:t>Training</w:t>
      </w:r>
      <w:r w:rsidR="00F5269C" w:rsidRPr="00864E5E">
        <w:rPr>
          <w:rFonts w:cstheme="minorHAnsi"/>
          <w:bCs/>
        </w:rPr>
        <w:t>;</w:t>
      </w:r>
      <w:r w:rsidRPr="00864E5E">
        <w:rPr>
          <w:rFonts w:cstheme="minorHAnsi"/>
          <w:bCs/>
        </w:rPr>
        <w:t xml:space="preserve"> eCASAS Basic Implementation Training</w:t>
      </w:r>
      <w:r w:rsidR="00F5269C" w:rsidRPr="00864E5E">
        <w:rPr>
          <w:rFonts w:cstheme="minorHAnsi"/>
          <w:bCs/>
        </w:rPr>
        <w:t>;</w:t>
      </w:r>
      <w:r w:rsidRPr="00864E5E">
        <w:rPr>
          <w:rFonts w:cstheme="minorHAnsi"/>
          <w:bCs/>
        </w:rPr>
        <w:t xml:space="preserve"> CASAS Linking to Instruction</w:t>
      </w:r>
      <w:r w:rsidR="00F5269C" w:rsidRPr="00864E5E">
        <w:rPr>
          <w:rFonts w:cstheme="minorHAnsi"/>
          <w:bCs/>
        </w:rPr>
        <w:t>;</w:t>
      </w:r>
      <w:r w:rsidRPr="00864E5E">
        <w:rPr>
          <w:rFonts w:cstheme="minorHAnsi"/>
          <w:bCs/>
        </w:rPr>
        <w:t xml:space="preserve"> </w:t>
      </w:r>
      <w:r w:rsidR="00C42A57" w:rsidRPr="00864E5E">
        <w:rPr>
          <w:rFonts w:cstheme="minorHAnsi"/>
          <w:bCs/>
        </w:rPr>
        <w:t>Using TopsPRO for Instruction</w:t>
      </w:r>
      <w:r w:rsidR="00F5269C" w:rsidRPr="00864E5E">
        <w:rPr>
          <w:rFonts w:cstheme="minorHAnsi"/>
          <w:bCs/>
        </w:rPr>
        <w:t>;</w:t>
      </w:r>
      <w:r w:rsidRPr="00864E5E">
        <w:rPr>
          <w:rFonts w:cstheme="minorHAnsi"/>
          <w:bCs/>
        </w:rPr>
        <w:t xml:space="preserve"> HiSET Reboot Training; HiSET </w:t>
      </w:r>
      <w:r w:rsidR="00F5269C" w:rsidRPr="00864E5E">
        <w:rPr>
          <w:rFonts w:cstheme="minorHAnsi"/>
          <w:bCs/>
        </w:rPr>
        <w:t xml:space="preserve">Test Center Administrator </w:t>
      </w:r>
      <w:r w:rsidRPr="00864E5E">
        <w:rPr>
          <w:rFonts w:cstheme="minorHAnsi"/>
          <w:bCs/>
        </w:rPr>
        <w:t>training</w:t>
      </w:r>
      <w:r w:rsidR="004C3443" w:rsidRPr="00864E5E">
        <w:rPr>
          <w:rFonts w:cstheme="minorHAnsi"/>
          <w:bCs/>
        </w:rPr>
        <w:t xml:space="preserve">; </w:t>
      </w:r>
      <w:r w:rsidR="00CF1293" w:rsidRPr="00864E5E">
        <w:rPr>
          <w:rFonts w:cstheme="minorHAnsi"/>
          <w:bCs/>
        </w:rPr>
        <w:t>Best Practices for Data Match;</w:t>
      </w:r>
      <w:r w:rsidR="00EE5A42" w:rsidRPr="00864E5E">
        <w:rPr>
          <w:rFonts w:cstheme="minorHAnsi"/>
          <w:bCs/>
        </w:rPr>
        <w:t xml:space="preserve"> Why We Ask What We Ask Data Training;</w:t>
      </w:r>
      <w:r w:rsidRPr="00864E5E">
        <w:rPr>
          <w:rFonts w:cstheme="minorHAnsi"/>
          <w:bCs/>
        </w:rPr>
        <w:t xml:space="preserve"> MaineSTARS data training (collecting, analyzing, reporting); </w:t>
      </w:r>
      <w:r w:rsidR="00F5269C" w:rsidRPr="00864E5E">
        <w:rPr>
          <w:rFonts w:cstheme="minorHAnsi"/>
          <w:bCs/>
        </w:rPr>
        <w:t xml:space="preserve">GEPA Technical Assistance Webinar; </w:t>
      </w:r>
      <w:r w:rsidRPr="00864E5E">
        <w:rPr>
          <w:rFonts w:cstheme="minorHAnsi"/>
          <w:bCs/>
        </w:rPr>
        <w:t>fiscal management (best practices); new program administrator training series</w:t>
      </w:r>
      <w:r w:rsidR="00864E5E">
        <w:rPr>
          <w:rFonts w:cstheme="minorHAnsi"/>
          <w:bCs/>
        </w:rPr>
        <w:t>.</w:t>
      </w:r>
    </w:p>
    <w:p w14:paraId="30C71580" w14:textId="77777777" w:rsidR="00D5489B" w:rsidRPr="002E0C57" w:rsidRDefault="00D5489B" w:rsidP="00A32BF4">
      <w:pPr>
        <w:pStyle w:val="ListParagraph"/>
        <w:autoSpaceDE w:val="0"/>
        <w:autoSpaceDN w:val="0"/>
        <w:spacing w:line="276" w:lineRule="auto"/>
        <w:rPr>
          <w:rFonts w:asciiTheme="minorHAnsi" w:hAnsiTheme="minorHAnsi" w:cstheme="minorHAnsi"/>
          <w:bCs/>
        </w:rPr>
      </w:pPr>
    </w:p>
    <w:p w14:paraId="6265EFCD" w14:textId="6AA8E88B" w:rsidR="00A32BF4" w:rsidRPr="002E0C57" w:rsidRDefault="00A32BF4" w:rsidP="00B54E58">
      <w:pPr>
        <w:autoSpaceDE w:val="0"/>
        <w:autoSpaceDN w:val="0"/>
        <w:rPr>
          <w:rFonts w:cstheme="minorHAnsi"/>
          <w:bCs/>
          <w:color w:val="000000" w:themeColor="text1"/>
        </w:rPr>
      </w:pPr>
      <w:r w:rsidRPr="002E0C57">
        <w:rPr>
          <w:rFonts w:cstheme="minorHAnsi"/>
          <w:bCs/>
        </w:rPr>
        <w:t xml:space="preserve">The </w:t>
      </w:r>
      <w:r w:rsidR="00864E5E">
        <w:rPr>
          <w:rFonts w:cstheme="minorHAnsi"/>
          <w:bCs/>
        </w:rPr>
        <w:t>s</w:t>
      </w:r>
      <w:r w:rsidRPr="002E0C57">
        <w:rPr>
          <w:rFonts w:cstheme="minorHAnsi"/>
          <w:bCs/>
        </w:rPr>
        <w:t xml:space="preserve">tate </w:t>
      </w:r>
      <w:r w:rsidR="00864E5E">
        <w:rPr>
          <w:rFonts w:cstheme="minorHAnsi"/>
          <w:bCs/>
        </w:rPr>
        <w:t>o</w:t>
      </w:r>
      <w:r w:rsidRPr="002E0C57">
        <w:rPr>
          <w:rFonts w:cstheme="minorHAnsi"/>
          <w:bCs/>
        </w:rPr>
        <w:t>ffice uses Schoology, a learning management system, to provide both a model of online learning and a repository for educational and programmatic materials and resources. I</w:t>
      </w:r>
      <w:r w:rsidR="00864E5E">
        <w:rPr>
          <w:rFonts w:cstheme="minorHAnsi"/>
          <w:bCs/>
        </w:rPr>
        <w:t>n</w:t>
      </w:r>
      <w:r w:rsidRPr="002E0C57">
        <w:rPr>
          <w:rFonts w:cstheme="minorHAnsi"/>
          <w:bCs/>
        </w:rPr>
        <w:t xml:space="preserve"> </w:t>
      </w:r>
      <w:r w:rsidR="00864E5E">
        <w:rPr>
          <w:rFonts w:cstheme="minorHAnsi"/>
          <w:bCs/>
        </w:rPr>
        <w:t>PY19</w:t>
      </w:r>
      <w:r w:rsidRPr="002E0C57">
        <w:rPr>
          <w:rFonts w:cstheme="minorHAnsi"/>
          <w:bCs/>
        </w:rPr>
        <w:t xml:space="preserve">, </w:t>
      </w:r>
      <w:r w:rsidR="00864E5E">
        <w:rPr>
          <w:rFonts w:cstheme="minorHAnsi"/>
          <w:bCs/>
        </w:rPr>
        <w:t>s</w:t>
      </w:r>
      <w:r w:rsidRPr="002E0C57">
        <w:rPr>
          <w:rFonts w:cstheme="minorHAnsi"/>
          <w:bCs/>
        </w:rPr>
        <w:t xml:space="preserve">tate </w:t>
      </w:r>
      <w:r w:rsidR="00864E5E">
        <w:rPr>
          <w:rFonts w:cstheme="minorHAnsi"/>
          <w:bCs/>
        </w:rPr>
        <w:t>o</w:t>
      </w:r>
      <w:r w:rsidRPr="002E0C57">
        <w:rPr>
          <w:rFonts w:cstheme="minorHAnsi"/>
          <w:bCs/>
        </w:rPr>
        <w:t xml:space="preserve">ffice personnel supported local providers in the transition to emergency remote learning using Schoology as a repository for relevant distance learning resources, offering targeted support about navigating the system, and holding office hours for group problem solving around online learning. Consortia of local providers also use the Schoology group feature to create online professional learning communities where instructors and advisors across the consortia can share resources and best practices. In FY20, the State Office continued its revision of its CCRS-SIA trainings and launched updated </w:t>
      </w:r>
      <w:r w:rsidRPr="002E0C57">
        <w:rPr>
          <w:rFonts w:cstheme="minorHAnsi"/>
          <w:bCs/>
          <w:color w:val="000000" w:themeColor="text1"/>
        </w:rPr>
        <w:t>Phase 1 CCRS trainings, a combination of on-demand and shorter facilitated trainings. Phase 2 is in development.</w:t>
      </w:r>
    </w:p>
    <w:p w14:paraId="46289ED4" w14:textId="487502D6" w:rsidR="00A32BF4" w:rsidRPr="002E0C57" w:rsidRDefault="00A32BF4" w:rsidP="00B54E58">
      <w:pPr>
        <w:autoSpaceDE w:val="0"/>
        <w:autoSpaceDN w:val="0"/>
        <w:rPr>
          <w:rFonts w:cstheme="minorHAnsi"/>
          <w:bCs/>
        </w:rPr>
      </w:pPr>
      <w:r w:rsidRPr="002E0C57">
        <w:rPr>
          <w:rFonts w:cstheme="minorHAnsi"/>
          <w:bCs/>
        </w:rPr>
        <w:t xml:space="preserve">We revised the Maine Adult Education Guidance for Distance Education to clarify language around tracking attendance and reporting and to encourage a collaborative approach to distance education among local providers. The pandemic interrupted its dissemination, and </w:t>
      </w:r>
      <w:r w:rsidRPr="002E0C57">
        <w:rPr>
          <w:rFonts w:cstheme="minorHAnsi"/>
          <w:bCs/>
          <w:vertAlign w:val="subscript"/>
        </w:rPr>
        <w:softHyphen/>
      </w:r>
      <w:r w:rsidRPr="002E0C57">
        <w:rPr>
          <w:rFonts w:cstheme="minorHAnsi"/>
          <w:bCs/>
        </w:rPr>
        <w:t>we held back its release to make sure it reflected the most recent guidance from OCTAE and NRS, including information about assessing learners remotely. The implementation plan is also under revision</w:t>
      </w:r>
      <w:r w:rsidRPr="002E0C57">
        <w:rPr>
          <w:rFonts w:cstheme="minorHAnsi"/>
          <w:bCs/>
          <w:color w:val="000000" w:themeColor="text1"/>
        </w:rPr>
        <w:t>.</w:t>
      </w:r>
    </w:p>
    <w:p w14:paraId="1F620E00" w14:textId="77777777" w:rsidR="00A32BF4" w:rsidRPr="002E0C57" w:rsidRDefault="00A32BF4" w:rsidP="00A32BF4">
      <w:pPr>
        <w:rPr>
          <w:rFonts w:cstheme="minorHAnsi"/>
        </w:rPr>
      </w:pPr>
      <w:r w:rsidRPr="002E0C57">
        <w:rPr>
          <w:rFonts w:cstheme="minorHAnsi"/>
        </w:rPr>
        <w:t>2019-2020 Professional Development Opportunities by Category*</w:t>
      </w:r>
    </w:p>
    <w:tbl>
      <w:tblPr>
        <w:tblStyle w:val="TableGrid"/>
        <w:tblW w:w="7200" w:type="dxa"/>
        <w:jc w:val="center"/>
        <w:tblLook w:val="04A0" w:firstRow="1" w:lastRow="0" w:firstColumn="1" w:lastColumn="0" w:noHBand="0" w:noVBand="1"/>
      </w:tblPr>
      <w:tblGrid>
        <w:gridCol w:w="5186"/>
        <w:gridCol w:w="2014"/>
      </w:tblGrid>
      <w:tr w:rsidR="00A32BF4" w:rsidRPr="002E0C57" w14:paraId="5DC1A49D"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0FBFC775" w14:textId="77777777" w:rsidR="00A32BF4" w:rsidRPr="002E0C57" w:rsidRDefault="00A32BF4" w:rsidP="002E2F9B">
            <w:pPr>
              <w:autoSpaceDE w:val="0"/>
              <w:autoSpaceDN w:val="0"/>
              <w:rPr>
                <w:rFonts w:cstheme="minorHAnsi"/>
                <w:b/>
                <w:bCs/>
              </w:rPr>
            </w:pPr>
            <w:r w:rsidRPr="002E0C57">
              <w:rPr>
                <w:rFonts w:cstheme="minorHAnsi"/>
                <w:b/>
                <w:bCs/>
              </w:rPr>
              <w:t>Category</w:t>
            </w:r>
          </w:p>
        </w:tc>
        <w:tc>
          <w:tcPr>
            <w:tcW w:w="2014" w:type="dxa"/>
            <w:tcBorders>
              <w:top w:val="single" w:sz="4" w:space="0" w:color="auto"/>
              <w:left w:val="single" w:sz="4" w:space="0" w:color="auto"/>
              <w:bottom w:val="single" w:sz="4" w:space="0" w:color="auto"/>
              <w:right w:val="single" w:sz="4" w:space="0" w:color="auto"/>
            </w:tcBorders>
            <w:hideMark/>
          </w:tcPr>
          <w:p w14:paraId="4B53827C" w14:textId="77777777" w:rsidR="00A32BF4" w:rsidRPr="002E0C57" w:rsidRDefault="00A32BF4" w:rsidP="002E2F9B">
            <w:pPr>
              <w:autoSpaceDE w:val="0"/>
              <w:autoSpaceDN w:val="0"/>
              <w:rPr>
                <w:rFonts w:cstheme="minorHAnsi"/>
                <w:b/>
                <w:bCs/>
              </w:rPr>
            </w:pPr>
            <w:r w:rsidRPr="002E0C57">
              <w:rPr>
                <w:rFonts w:cstheme="minorHAnsi"/>
                <w:b/>
                <w:bCs/>
              </w:rPr>
              <w:t>Number of events</w:t>
            </w:r>
          </w:p>
        </w:tc>
      </w:tr>
      <w:tr w:rsidR="00A32BF4" w:rsidRPr="002E0C57" w14:paraId="1202047B"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68D50582" w14:textId="56BAD4C9" w:rsidR="00A32BF4" w:rsidRPr="0061133C" w:rsidRDefault="0061133C" w:rsidP="002E2F9B">
            <w:pPr>
              <w:autoSpaceDE w:val="0"/>
              <w:autoSpaceDN w:val="0"/>
              <w:rPr>
                <w:rFonts w:cstheme="minorHAnsi"/>
                <w:bCs/>
              </w:rPr>
            </w:pPr>
            <w:r>
              <w:rPr>
                <w:rFonts w:cstheme="minorHAnsi"/>
                <w:bCs/>
              </w:rPr>
              <w:t>Assessment</w:t>
            </w:r>
          </w:p>
        </w:tc>
        <w:tc>
          <w:tcPr>
            <w:tcW w:w="2014" w:type="dxa"/>
            <w:tcBorders>
              <w:top w:val="single" w:sz="4" w:space="0" w:color="auto"/>
              <w:left w:val="single" w:sz="4" w:space="0" w:color="auto"/>
              <w:bottom w:val="single" w:sz="4" w:space="0" w:color="auto"/>
              <w:right w:val="single" w:sz="4" w:space="0" w:color="auto"/>
            </w:tcBorders>
            <w:hideMark/>
          </w:tcPr>
          <w:p w14:paraId="4F412A56" w14:textId="177C802F" w:rsidR="00A32BF4" w:rsidRPr="0061133C" w:rsidRDefault="0061133C" w:rsidP="0061133C">
            <w:pPr>
              <w:autoSpaceDE w:val="0"/>
              <w:autoSpaceDN w:val="0"/>
              <w:rPr>
                <w:rFonts w:cstheme="minorHAnsi"/>
                <w:bCs/>
              </w:rPr>
            </w:pPr>
            <w:r>
              <w:rPr>
                <w:rFonts w:cstheme="minorHAnsi"/>
                <w:bCs/>
                <w:vertAlign w:val="subscript"/>
              </w:rPr>
              <w:t xml:space="preserve">                         </w:t>
            </w:r>
            <w:r>
              <w:rPr>
                <w:rFonts w:cstheme="minorHAnsi"/>
                <w:bCs/>
              </w:rPr>
              <w:t>5</w:t>
            </w:r>
          </w:p>
        </w:tc>
      </w:tr>
      <w:tr w:rsidR="00A32BF4" w:rsidRPr="002E0C57" w14:paraId="67452DAF"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727290FD" w14:textId="77777777" w:rsidR="00A32BF4" w:rsidRPr="002E0C57" w:rsidRDefault="00A32BF4" w:rsidP="002E2F9B">
            <w:pPr>
              <w:autoSpaceDE w:val="0"/>
              <w:autoSpaceDN w:val="0"/>
              <w:rPr>
                <w:rFonts w:cstheme="minorHAnsi"/>
                <w:bCs/>
              </w:rPr>
            </w:pPr>
            <w:r w:rsidRPr="002E0C57">
              <w:rPr>
                <w:rFonts w:cstheme="minorHAnsi"/>
                <w:bCs/>
              </w:rPr>
              <w:t>College and Career Readiness</w:t>
            </w:r>
          </w:p>
        </w:tc>
        <w:tc>
          <w:tcPr>
            <w:tcW w:w="2014" w:type="dxa"/>
            <w:tcBorders>
              <w:top w:val="single" w:sz="4" w:space="0" w:color="auto"/>
              <w:left w:val="single" w:sz="4" w:space="0" w:color="auto"/>
              <w:bottom w:val="single" w:sz="4" w:space="0" w:color="auto"/>
              <w:right w:val="single" w:sz="4" w:space="0" w:color="auto"/>
            </w:tcBorders>
            <w:hideMark/>
          </w:tcPr>
          <w:p w14:paraId="30311D7E" w14:textId="77777777" w:rsidR="00A32BF4" w:rsidRPr="002E0C57" w:rsidRDefault="00A32BF4" w:rsidP="002E2F9B">
            <w:pPr>
              <w:autoSpaceDE w:val="0"/>
              <w:autoSpaceDN w:val="0"/>
              <w:jc w:val="center"/>
              <w:rPr>
                <w:rFonts w:cstheme="minorHAnsi"/>
                <w:bCs/>
              </w:rPr>
            </w:pPr>
            <w:r w:rsidRPr="002E0C57">
              <w:rPr>
                <w:rFonts w:cstheme="minorHAnsi"/>
                <w:bCs/>
              </w:rPr>
              <w:t>16</w:t>
            </w:r>
          </w:p>
        </w:tc>
      </w:tr>
      <w:tr w:rsidR="00A32BF4" w:rsidRPr="002E0C57" w14:paraId="70515C9E"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63F67447" w14:textId="77777777" w:rsidR="00A32BF4" w:rsidRPr="002E0C57" w:rsidRDefault="00A32BF4" w:rsidP="002E2F9B">
            <w:pPr>
              <w:autoSpaceDE w:val="0"/>
              <w:autoSpaceDN w:val="0"/>
              <w:rPr>
                <w:rFonts w:cstheme="minorHAnsi"/>
                <w:bCs/>
              </w:rPr>
            </w:pPr>
            <w:r w:rsidRPr="002E0C57">
              <w:rPr>
                <w:rFonts w:cstheme="minorHAnsi"/>
                <w:bCs/>
              </w:rPr>
              <w:t>Instructional Practice</w:t>
            </w:r>
          </w:p>
        </w:tc>
        <w:tc>
          <w:tcPr>
            <w:tcW w:w="2014" w:type="dxa"/>
            <w:tcBorders>
              <w:top w:val="single" w:sz="4" w:space="0" w:color="auto"/>
              <w:left w:val="single" w:sz="4" w:space="0" w:color="auto"/>
              <w:bottom w:val="single" w:sz="4" w:space="0" w:color="auto"/>
              <w:right w:val="single" w:sz="4" w:space="0" w:color="auto"/>
            </w:tcBorders>
            <w:hideMark/>
          </w:tcPr>
          <w:p w14:paraId="00D7C29B" w14:textId="77777777" w:rsidR="00A32BF4" w:rsidRPr="002E0C57" w:rsidRDefault="00A32BF4" w:rsidP="002E2F9B">
            <w:pPr>
              <w:autoSpaceDE w:val="0"/>
              <w:autoSpaceDN w:val="0"/>
              <w:jc w:val="center"/>
              <w:rPr>
                <w:rFonts w:cstheme="minorHAnsi"/>
                <w:bCs/>
              </w:rPr>
            </w:pPr>
            <w:r w:rsidRPr="002E0C57">
              <w:rPr>
                <w:rFonts w:cstheme="minorHAnsi"/>
                <w:bCs/>
              </w:rPr>
              <w:t>15</w:t>
            </w:r>
          </w:p>
        </w:tc>
      </w:tr>
      <w:tr w:rsidR="00A32BF4" w:rsidRPr="002E0C57" w14:paraId="2DD72858"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7C5B0EF5" w14:textId="77777777" w:rsidR="00A32BF4" w:rsidRPr="002E0C57" w:rsidRDefault="00A32BF4" w:rsidP="002E2F9B">
            <w:pPr>
              <w:autoSpaceDE w:val="0"/>
              <w:autoSpaceDN w:val="0"/>
              <w:rPr>
                <w:rFonts w:cstheme="minorHAnsi"/>
                <w:bCs/>
              </w:rPr>
            </w:pPr>
            <w:r w:rsidRPr="002E0C57">
              <w:rPr>
                <w:rFonts w:cstheme="minorHAnsi"/>
                <w:bCs/>
              </w:rPr>
              <w:t>Data Collection and Analysis</w:t>
            </w:r>
          </w:p>
        </w:tc>
        <w:tc>
          <w:tcPr>
            <w:tcW w:w="2014" w:type="dxa"/>
            <w:tcBorders>
              <w:top w:val="single" w:sz="4" w:space="0" w:color="auto"/>
              <w:left w:val="single" w:sz="4" w:space="0" w:color="auto"/>
              <w:bottom w:val="single" w:sz="4" w:space="0" w:color="auto"/>
              <w:right w:val="single" w:sz="4" w:space="0" w:color="auto"/>
            </w:tcBorders>
            <w:hideMark/>
          </w:tcPr>
          <w:p w14:paraId="4C59D898" w14:textId="77777777" w:rsidR="00A32BF4" w:rsidRPr="002E0C57" w:rsidRDefault="00A32BF4" w:rsidP="002E2F9B">
            <w:pPr>
              <w:autoSpaceDE w:val="0"/>
              <w:autoSpaceDN w:val="0"/>
              <w:jc w:val="center"/>
              <w:rPr>
                <w:rFonts w:cstheme="minorHAnsi"/>
                <w:bCs/>
              </w:rPr>
            </w:pPr>
            <w:r w:rsidRPr="002E0C57">
              <w:rPr>
                <w:rFonts w:cstheme="minorHAnsi"/>
                <w:bCs/>
              </w:rPr>
              <w:t>5</w:t>
            </w:r>
          </w:p>
        </w:tc>
      </w:tr>
      <w:tr w:rsidR="00A32BF4" w:rsidRPr="002E0C57" w14:paraId="43215A42"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32338BBD" w14:textId="77777777" w:rsidR="00A32BF4" w:rsidRPr="002E0C57" w:rsidRDefault="00A32BF4" w:rsidP="002E2F9B">
            <w:pPr>
              <w:autoSpaceDE w:val="0"/>
              <w:autoSpaceDN w:val="0"/>
              <w:rPr>
                <w:rFonts w:cstheme="minorHAnsi"/>
                <w:bCs/>
              </w:rPr>
            </w:pPr>
            <w:r w:rsidRPr="002E0C57">
              <w:rPr>
                <w:rFonts w:cstheme="minorHAnsi"/>
                <w:bCs/>
              </w:rPr>
              <w:t>Advising</w:t>
            </w:r>
          </w:p>
        </w:tc>
        <w:tc>
          <w:tcPr>
            <w:tcW w:w="2014" w:type="dxa"/>
            <w:tcBorders>
              <w:top w:val="single" w:sz="4" w:space="0" w:color="auto"/>
              <w:left w:val="single" w:sz="4" w:space="0" w:color="auto"/>
              <w:bottom w:val="single" w:sz="4" w:space="0" w:color="auto"/>
              <w:right w:val="single" w:sz="4" w:space="0" w:color="auto"/>
            </w:tcBorders>
            <w:hideMark/>
          </w:tcPr>
          <w:p w14:paraId="7E84AE58" w14:textId="77777777" w:rsidR="00A32BF4" w:rsidRPr="002E0C57" w:rsidRDefault="00A32BF4" w:rsidP="002E2F9B">
            <w:pPr>
              <w:autoSpaceDE w:val="0"/>
              <w:autoSpaceDN w:val="0"/>
              <w:jc w:val="center"/>
              <w:rPr>
                <w:rFonts w:cstheme="minorHAnsi"/>
                <w:bCs/>
              </w:rPr>
            </w:pPr>
            <w:r w:rsidRPr="002E0C57">
              <w:rPr>
                <w:rFonts w:cstheme="minorHAnsi"/>
                <w:bCs/>
              </w:rPr>
              <w:t>7</w:t>
            </w:r>
          </w:p>
        </w:tc>
      </w:tr>
      <w:tr w:rsidR="00A32BF4" w:rsidRPr="002E0C57" w14:paraId="7784CA5E"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71906C37" w14:textId="77777777" w:rsidR="00A32BF4" w:rsidRPr="002E0C57" w:rsidRDefault="00A32BF4" w:rsidP="002E2F9B">
            <w:pPr>
              <w:autoSpaceDE w:val="0"/>
              <w:autoSpaceDN w:val="0"/>
              <w:rPr>
                <w:rFonts w:cstheme="minorHAnsi"/>
                <w:bCs/>
              </w:rPr>
            </w:pPr>
            <w:r w:rsidRPr="002E0C57">
              <w:rPr>
                <w:rFonts w:cstheme="minorHAnsi"/>
                <w:bCs/>
              </w:rPr>
              <w:t>Administrator/Leadership</w:t>
            </w:r>
          </w:p>
        </w:tc>
        <w:tc>
          <w:tcPr>
            <w:tcW w:w="2014" w:type="dxa"/>
            <w:tcBorders>
              <w:top w:val="single" w:sz="4" w:space="0" w:color="auto"/>
              <w:left w:val="single" w:sz="4" w:space="0" w:color="auto"/>
              <w:bottom w:val="single" w:sz="4" w:space="0" w:color="auto"/>
              <w:right w:val="single" w:sz="4" w:space="0" w:color="auto"/>
            </w:tcBorders>
            <w:hideMark/>
          </w:tcPr>
          <w:p w14:paraId="4C947CCE" w14:textId="77777777" w:rsidR="00A32BF4" w:rsidRPr="002E0C57" w:rsidRDefault="00A32BF4" w:rsidP="002E2F9B">
            <w:pPr>
              <w:autoSpaceDE w:val="0"/>
              <w:autoSpaceDN w:val="0"/>
              <w:jc w:val="center"/>
              <w:rPr>
                <w:rFonts w:cstheme="minorHAnsi"/>
                <w:bCs/>
              </w:rPr>
            </w:pPr>
            <w:r w:rsidRPr="002E0C57">
              <w:rPr>
                <w:rFonts w:cstheme="minorHAnsi"/>
                <w:bCs/>
              </w:rPr>
              <w:t>12</w:t>
            </w:r>
          </w:p>
        </w:tc>
      </w:tr>
      <w:tr w:rsidR="00A32BF4" w:rsidRPr="002E0C57" w14:paraId="16B0CA22"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3C5468B1" w14:textId="77777777" w:rsidR="00A32BF4" w:rsidRPr="002E0C57" w:rsidRDefault="00A32BF4" w:rsidP="002E2F9B">
            <w:pPr>
              <w:autoSpaceDE w:val="0"/>
              <w:autoSpaceDN w:val="0"/>
              <w:rPr>
                <w:rFonts w:cstheme="minorHAnsi"/>
                <w:bCs/>
              </w:rPr>
            </w:pPr>
            <w:r w:rsidRPr="002E0C57">
              <w:rPr>
                <w:rFonts w:cstheme="minorHAnsi"/>
                <w:bCs/>
              </w:rPr>
              <w:t>Distance Education</w:t>
            </w:r>
          </w:p>
        </w:tc>
        <w:tc>
          <w:tcPr>
            <w:tcW w:w="2014" w:type="dxa"/>
            <w:tcBorders>
              <w:top w:val="single" w:sz="4" w:space="0" w:color="auto"/>
              <w:left w:val="single" w:sz="4" w:space="0" w:color="auto"/>
              <w:bottom w:val="single" w:sz="4" w:space="0" w:color="auto"/>
              <w:right w:val="single" w:sz="4" w:space="0" w:color="auto"/>
            </w:tcBorders>
            <w:hideMark/>
          </w:tcPr>
          <w:p w14:paraId="0D41218D" w14:textId="77777777" w:rsidR="00A32BF4" w:rsidRPr="002E0C57" w:rsidRDefault="00A32BF4" w:rsidP="002E2F9B">
            <w:pPr>
              <w:autoSpaceDE w:val="0"/>
              <w:autoSpaceDN w:val="0"/>
              <w:jc w:val="center"/>
              <w:rPr>
                <w:rFonts w:cstheme="minorHAnsi"/>
                <w:bCs/>
              </w:rPr>
            </w:pPr>
            <w:r w:rsidRPr="002E0C57">
              <w:rPr>
                <w:rFonts w:cstheme="minorHAnsi"/>
                <w:bCs/>
              </w:rPr>
              <w:t>1</w:t>
            </w:r>
          </w:p>
        </w:tc>
      </w:tr>
      <w:tr w:rsidR="00A32BF4" w:rsidRPr="002E0C57" w14:paraId="58E2879E"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17473EC4" w14:textId="77777777" w:rsidR="00A32BF4" w:rsidRPr="002E0C57" w:rsidRDefault="00A32BF4" w:rsidP="002E2F9B">
            <w:pPr>
              <w:autoSpaceDE w:val="0"/>
              <w:autoSpaceDN w:val="0"/>
              <w:rPr>
                <w:rFonts w:cstheme="minorHAnsi"/>
                <w:bCs/>
              </w:rPr>
            </w:pPr>
            <w:r w:rsidRPr="002E0C57">
              <w:rPr>
                <w:rFonts w:cstheme="minorHAnsi"/>
                <w:bCs/>
              </w:rPr>
              <w:t>WorkReady</w:t>
            </w:r>
          </w:p>
        </w:tc>
        <w:tc>
          <w:tcPr>
            <w:tcW w:w="2014" w:type="dxa"/>
            <w:tcBorders>
              <w:top w:val="single" w:sz="4" w:space="0" w:color="auto"/>
              <w:left w:val="single" w:sz="4" w:space="0" w:color="auto"/>
              <w:bottom w:val="single" w:sz="4" w:space="0" w:color="auto"/>
              <w:right w:val="single" w:sz="4" w:space="0" w:color="auto"/>
            </w:tcBorders>
            <w:hideMark/>
          </w:tcPr>
          <w:p w14:paraId="233F9276" w14:textId="77777777" w:rsidR="00A32BF4" w:rsidRPr="002E0C57" w:rsidRDefault="00A32BF4" w:rsidP="002E2F9B">
            <w:pPr>
              <w:autoSpaceDE w:val="0"/>
              <w:autoSpaceDN w:val="0"/>
              <w:jc w:val="center"/>
              <w:rPr>
                <w:rFonts w:cstheme="minorHAnsi"/>
                <w:bCs/>
              </w:rPr>
            </w:pPr>
            <w:r w:rsidRPr="002E0C57">
              <w:rPr>
                <w:rFonts w:cstheme="minorHAnsi"/>
                <w:bCs/>
              </w:rPr>
              <w:t>3</w:t>
            </w:r>
          </w:p>
        </w:tc>
      </w:tr>
      <w:tr w:rsidR="00A32BF4" w:rsidRPr="002E0C57" w14:paraId="14482321"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05798E92" w14:textId="77777777" w:rsidR="00A32BF4" w:rsidRPr="002E0C57" w:rsidRDefault="00A32BF4" w:rsidP="002E2F9B">
            <w:pPr>
              <w:autoSpaceDE w:val="0"/>
              <w:autoSpaceDN w:val="0"/>
              <w:rPr>
                <w:rFonts w:cstheme="minorHAnsi"/>
                <w:bCs/>
              </w:rPr>
            </w:pPr>
            <w:r w:rsidRPr="002E0C57">
              <w:rPr>
                <w:rFonts w:cstheme="minorHAnsi"/>
                <w:bCs/>
              </w:rPr>
              <w:t>WIOA/AEFLA</w:t>
            </w:r>
          </w:p>
        </w:tc>
        <w:tc>
          <w:tcPr>
            <w:tcW w:w="2014" w:type="dxa"/>
            <w:tcBorders>
              <w:top w:val="single" w:sz="4" w:space="0" w:color="auto"/>
              <w:left w:val="single" w:sz="4" w:space="0" w:color="auto"/>
              <w:bottom w:val="single" w:sz="4" w:space="0" w:color="auto"/>
              <w:right w:val="single" w:sz="4" w:space="0" w:color="auto"/>
            </w:tcBorders>
            <w:hideMark/>
          </w:tcPr>
          <w:p w14:paraId="235F262C" w14:textId="77777777" w:rsidR="00A32BF4" w:rsidRPr="002E0C57" w:rsidRDefault="00A32BF4" w:rsidP="002E2F9B">
            <w:pPr>
              <w:autoSpaceDE w:val="0"/>
              <w:autoSpaceDN w:val="0"/>
              <w:jc w:val="center"/>
              <w:rPr>
                <w:rFonts w:cstheme="minorHAnsi"/>
                <w:bCs/>
              </w:rPr>
            </w:pPr>
            <w:r w:rsidRPr="002E0C57">
              <w:rPr>
                <w:rFonts w:cstheme="minorHAnsi"/>
                <w:bCs/>
              </w:rPr>
              <w:t>5</w:t>
            </w:r>
          </w:p>
        </w:tc>
      </w:tr>
      <w:tr w:rsidR="00A32BF4" w:rsidRPr="002E0C57" w14:paraId="3D305510" w14:textId="77777777" w:rsidTr="002E2F9B">
        <w:trPr>
          <w:jc w:val="center"/>
        </w:trPr>
        <w:tc>
          <w:tcPr>
            <w:tcW w:w="5186" w:type="dxa"/>
            <w:tcBorders>
              <w:top w:val="single" w:sz="4" w:space="0" w:color="auto"/>
              <w:left w:val="single" w:sz="4" w:space="0" w:color="auto"/>
              <w:bottom w:val="single" w:sz="4" w:space="0" w:color="auto"/>
              <w:right w:val="single" w:sz="4" w:space="0" w:color="auto"/>
            </w:tcBorders>
            <w:hideMark/>
          </w:tcPr>
          <w:p w14:paraId="2E7864DB" w14:textId="77777777" w:rsidR="00A32BF4" w:rsidRPr="002E0C57" w:rsidRDefault="00A32BF4" w:rsidP="002E2F9B">
            <w:pPr>
              <w:autoSpaceDE w:val="0"/>
              <w:autoSpaceDN w:val="0"/>
              <w:rPr>
                <w:rFonts w:cstheme="minorHAnsi"/>
                <w:bCs/>
              </w:rPr>
            </w:pPr>
            <w:r w:rsidRPr="002E0C57">
              <w:rPr>
                <w:rFonts w:cstheme="minorHAnsi"/>
                <w:bCs/>
              </w:rPr>
              <w:t>Office Hours</w:t>
            </w:r>
          </w:p>
        </w:tc>
        <w:tc>
          <w:tcPr>
            <w:tcW w:w="2014" w:type="dxa"/>
            <w:tcBorders>
              <w:top w:val="single" w:sz="4" w:space="0" w:color="auto"/>
              <w:left w:val="single" w:sz="4" w:space="0" w:color="auto"/>
              <w:bottom w:val="single" w:sz="4" w:space="0" w:color="auto"/>
              <w:right w:val="single" w:sz="4" w:space="0" w:color="auto"/>
            </w:tcBorders>
            <w:hideMark/>
          </w:tcPr>
          <w:p w14:paraId="5BC2046B" w14:textId="77777777" w:rsidR="00A32BF4" w:rsidRPr="002E0C57" w:rsidRDefault="00A32BF4" w:rsidP="002E2F9B">
            <w:pPr>
              <w:autoSpaceDE w:val="0"/>
              <w:autoSpaceDN w:val="0"/>
              <w:jc w:val="center"/>
              <w:rPr>
                <w:rFonts w:cstheme="minorHAnsi"/>
                <w:bCs/>
              </w:rPr>
            </w:pPr>
            <w:r w:rsidRPr="002E0C57">
              <w:rPr>
                <w:rFonts w:cstheme="minorHAnsi"/>
                <w:bCs/>
              </w:rPr>
              <w:t>43</w:t>
            </w:r>
          </w:p>
        </w:tc>
      </w:tr>
    </w:tbl>
    <w:p w14:paraId="023C18A3" w14:textId="77777777" w:rsidR="00A32BF4" w:rsidRPr="002E0C57" w:rsidRDefault="00A32BF4" w:rsidP="00A32BF4">
      <w:pPr>
        <w:rPr>
          <w:rFonts w:cstheme="minorHAnsi"/>
          <w:color w:val="FF0000"/>
        </w:rPr>
      </w:pPr>
    </w:p>
    <w:p w14:paraId="4C0AD148" w14:textId="7848203F" w:rsidR="00B002EA" w:rsidRPr="002E0C57" w:rsidRDefault="00513AB7" w:rsidP="001E21C4">
      <w:pPr>
        <w:rPr>
          <w:rFonts w:cstheme="minorHAnsi"/>
        </w:rPr>
      </w:pPr>
      <w:r w:rsidRPr="002E0C57">
        <w:rPr>
          <w:rFonts w:cstheme="minorHAnsi"/>
        </w:rPr>
        <w:t xml:space="preserve">* This table does not reflect the </w:t>
      </w:r>
      <w:r w:rsidR="00FB022B" w:rsidRPr="002E0C57">
        <w:rPr>
          <w:rFonts w:cstheme="minorHAnsi"/>
        </w:rPr>
        <w:t>self-paced courses offered throughout the year.</w:t>
      </w:r>
      <w:r w:rsidRPr="002E0C57">
        <w:rPr>
          <w:rFonts w:cstheme="minorHAnsi"/>
        </w:rPr>
        <w:t xml:space="preserve"> </w:t>
      </w:r>
    </w:p>
    <w:p w14:paraId="020A148A" w14:textId="39012713" w:rsidR="00671D30" w:rsidRPr="002E0C57" w:rsidRDefault="009F49B7" w:rsidP="001E21C4">
      <w:pPr>
        <w:rPr>
          <w:rFonts w:cstheme="minorHAnsi"/>
        </w:rPr>
      </w:pPr>
      <w:r w:rsidRPr="002E0C57">
        <w:rPr>
          <w:rFonts w:cstheme="minorHAnsi"/>
        </w:rPr>
        <w:lastRenderedPageBreak/>
        <w:t xml:space="preserve">While </w:t>
      </w:r>
      <w:r w:rsidR="00C05733" w:rsidRPr="002E0C57">
        <w:rPr>
          <w:rFonts w:cstheme="minorHAnsi"/>
        </w:rPr>
        <w:t>Maine has not conducted s</w:t>
      </w:r>
      <w:r w:rsidR="00EF6FE4" w:rsidRPr="002E0C57">
        <w:rPr>
          <w:rFonts w:cstheme="minorHAnsi"/>
        </w:rPr>
        <w:t>tate-wide onsite program monitoring for several years</w:t>
      </w:r>
      <w:r w:rsidRPr="002E0C57">
        <w:rPr>
          <w:rFonts w:cstheme="minorHAnsi"/>
        </w:rPr>
        <w:t>, w</w:t>
      </w:r>
      <w:r w:rsidR="00A30600" w:rsidRPr="002E0C57">
        <w:rPr>
          <w:rFonts w:cstheme="minorHAnsi"/>
        </w:rPr>
        <w:t xml:space="preserve">e have relied on </w:t>
      </w:r>
      <w:r w:rsidR="00B632E2" w:rsidRPr="002E0C57">
        <w:rPr>
          <w:rFonts w:cstheme="minorHAnsi"/>
        </w:rPr>
        <w:t>desk monitoring, the submission of standardized quarterly reports</w:t>
      </w:r>
      <w:r w:rsidR="009E1F83" w:rsidRPr="002E0C57">
        <w:rPr>
          <w:rFonts w:cstheme="minorHAnsi"/>
        </w:rPr>
        <w:t xml:space="preserve">, targeted </w:t>
      </w:r>
      <w:r w:rsidR="00140CE8" w:rsidRPr="002E0C57">
        <w:rPr>
          <w:rFonts w:cstheme="minorHAnsi"/>
        </w:rPr>
        <w:t xml:space="preserve">technical assistance to address any issues coming up in reports (i.e. SSN collection, </w:t>
      </w:r>
      <w:r w:rsidR="005E7A5E" w:rsidRPr="002E0C57">
        <w:rPr>
          <w:rFonts w:cstheme="minorHAnsi"/>
        </w:rPr>
        <w:t>data sharing agreements, etc.)</w:t>
      </w:r>
      <w:r w:rsidR="007C7B8C" w:rsidRPr="002E0C57">
        <w:rPr>
          <w:rFonts w:cstheme="minorHAnsi"/>
        </w:rPr>
        <w:t>, evaluations of professional development courses offered,</w:t>
      </w:r>
      <w:r w:rsidR="005E7A5E" w:rsidRPr="002E0C57">
        <w:rPr>
          <w:rFonts w:cstheme="minorHAnsi"/>
        </w:rPr>
        <w:t xml:space="preserve"> and one-on-one visits </w:t>
      </w:r>
      <w:r w:rsidR="00FD55B8" w:rsidRPr="002E0C57">
        <w:rPr>
          <w:rFonts w:cstheme="minorHAnsi"/>
        </w:rPr>
        <w:t xml:space="preserve">initiated by a program or the state office </w:t>
      </w:r>
      <w:r w:rsidR="005E7A5E" w:rsidRPr="002E0C57">
        <w:rPr>
          <w:rFonts w:cstheme="minorHAnsi"/>
        </w:rPr>
        <w:t xml:space="preserve">as needed. </w:t>
      </w:r>
    </w:p>
    <w:p w14:paraId="1B08618F" w14:textId="22F5C4F5" w:rsidR="00553F47" w:rsidRPr="002E0C57" w:rsidRDefault="008E1862" w:rsidP="001E21C4">
      <w:pPr>
        <w:rPr>
          <w:rFonts w:cstheme="minorHAnsi"/>
        </w:rPr>
      </w:pPr>
      <w:r w:rsidRPr="002E0C57">
        <w:rPr>
          <w:rFonts w:cstheme="minorHAnsi"/>
        </w:rPr>
        <w:t>W</w:t>
      </w:r>
      <w:r w:rsidR="00553F47" w:rsidRPr="002E0C57">
        <w:rPr>
          <w:rFonts w:cstheme="minorHAnsi"/>
        </w:rPr>
        <w:t xml:space="preserve">e decided </w:t>
      </w:r>
      <w:r w:rsidR="00946B56">
        <w:rPr>
          <w:rFonts w:cstheme="minorHAnsi"/>
        </w:rPr>
        <w:t>to go on</w:t>
      </w:r>
      <w:r w:rsidR="00107E4B">
        <w:rPr>
          <w:rFonts w:cstheme="minorHAnsi"/>
        </w:rPr>
        <w:t xml:space="preserve"> listening tours</w:t>
      </w:r>
      <w:r w:rsidR="00553F47" w:rsidRPr="002E0C57">
        <w:rPr>
          <w:rFonts w:cstheme="minorHAnsi"/>
        </w:rPr>
        <w:t xml:space="preserve"> in 2019-2020. </w:t>
      </w:r>
      <w:r w:rsidR="004B45EC" w:rsidRPr="002E0C57">
        <w:rPr>
          <w:rFonts w:cstheme="minorHAnsi"/>
        </w:rPr>
        <w:t>We believed personal visits</w:t>
      </w:r>
      <w:r w:rsidR="00107E4B">
        <w:rPr>
          <w:rFonts w:cstheme="minorHAnsi"/>
        </w:rPr>
        <w:t xml:space="preserve"> </w:t>
      </w:r>
      <w:r w:rsidR="004B45EC" w:rsidRPr="002E0C57">
        <w:rPr>
          <w:rFonts w:cstheme="minorHAnsi"/>
        </w:rPr>
        <w:t xml:space="preserve">not connected to any type of training or monitoring would help improve relationships with programs and show our interest and support of them. </w:t>
      </w:r>
      <w:r w:rsidR="00607722" w:rsidRPr="002E0C57">
        <w:rPr>
          <w:rFonts w:cstheme="minorHAnsi"/>
        </w:rPr>
        <w:t>This was the</w:t>
      </w:r>
      <w:r w:rsidR="00B57E25" w:rsidRPr="002E0C57">
        <w:rPr>
          <w:rFonts w:cstheme="minorHAnsi"/>
        </w:rPr>
        <w:t>ir</w:t>
      </w:r>
      <w:r w:rsidR="00607722" w:rsidRPr="002E0C57">
        <w:rPr>
          <w:rFonts w:cstheme="minorHAnsi"/>
        </w:rPr>
        <w:t xml:space="preserve"> opportunity to design the agenda</w:t>
      </w:r>
      <w:r w:rsidR="001D4EC7" w:rsidRPr="002E0C57">
        <w:rPr>
          <w:rFonts w:cstheme="minorHAnsi"/>
        </w:rPr>
        <w:t xml:space="preserve">, to highlight accomplishments and point out any challenges they wanted to share. </w:t>
      </w:r>
      <w:r w:rsidR="00A66B39" w:rsidRPr="002E0C57">
        <w:rPr>
          <w:rFonts w:cstheme="minorHAnsi"/>
        </w:rPr>
        <w:t>Each visit was different and reflected the character of the programs. W</w:t>
      </w:r>
      <w:r w:rsidR="001D4EC7" w:rsidRPr="002E0C57">
        <w:rPr>
          <w:rFonts w:cstheme="minorHAnsi"/>
        </w:rPr>
        <w:t>e saw facilities, met with teachers</w:t>
      </w:r>
      <w:r w:rsidR="00380F5F" w:rsidRPr="002E0C57">
        <w:rPr>
          <w:rFonts w:cstheme="minorHAnsi"/>
        </w:rPr>
        <w:t xml:space="preserve">, </w:t>
      </w:r>
      <w:r w:rsidR="001D4EC7" w:rsidRPr="002E0C57">
        <w:rPr>
          <w:rFonts w:cstheme="minorHAnsi"/>
        </w:rPr>
        <w:t>learners</w:t>
      </w:r>
      <w:r w:rsidR="00380F5F" w:rsidRPr="002E0C57">
        <w:rPr>
          <w:rFonts w:cstheme="minorHAnsi"/>
        </w:rPr>
        <w:t xml:space="preserve">, admin staff, </w:t>
      </w:r>
      <w:r w:rsidR="00C5264C" w:rsidRPr="002E0C57">
        <w:rPr>
          <w:rFonts w:cstheme="minorHAnsi"/>
        </w:rPr>
        <w:t xml:space="preserve">and </w:t>
      </w:r>
      <w:r w:rsidR="00A66B39" w:rsidRPr="002E0C57">
        <w:rPr>
          <w:rFonts w:cstheme="minorHAnsi"/>
        </w:rPr>
        <w:t xml:space="preserve">community </w:t>
      </w:r>
      <w:r w:rsidR="00380F5F" w:rsidRPr="002E0C57">
        <w:rPr>
          <w:rFonts w:cstheme="minorHAnsi"/>
        </w:rPr>
        <w:t>partners</w:t>
      </w:r>
      <w:r w:rsidR="00C5264C" w:rsidRPr="002E0C57">
        <w:rPr>
          <w:rFonts w:cstheme="minorHAnsi"/>
        </w:rPr>
        <w:t xml:space="preserve">. </w:t>
      </w:r>
      <w:r w:rsidR="00333DD7" w:rsidRPr="002E0C57">
        <w:rPr>
          <w:rFonts w:cstheme="minorHAnsi"/>
        </w:rPr>
        <w:t xml:space="preserve">Due to </w:t>
      </w:r>
      <w:r w:rsidR="00F06C09" w:rsidRPr="002E0C57">
        <w:rPr>
          <w:rFonts w:cstheme="minorHAnsi"/>
        </w:rPr>
        <w:t xml:space="preserve">a </w:t>
      </w:r>
      <w:r w:rsidR="00333DD7" w:rsidRPr="002E0C57">
        <w:rPr>
          <w:rFonts w:cstheme="minorHAnsi"/>
        </w:rPr>
        <w:t>state team member</w:t>
      </w:r>
      <w:r w:rsidR="007450FA">
        <w:rPr>
          <w:rFonts w:cstheme="minorHAnsi"/>
        </w:rPr>
        <w:t>’s schedule</w:t>
      </w:r>
      <w:r w:rsidR="00333DD7" w:rsidRPr="002E0C57">
        <w:rPr>
          <w:rFonts w:cstheme="minorHAnsi"/>
        </w:rPr>
        <w:t xml:space="preserve"> </w:t>
      </w:r>
      <w:r w:rsidR="00F06C09" w:rsidRPr="002E0C57">
        <w:rPr>
          <w:rFonts w:cstheme="minorHAnsi"/>
        </w:rPr>
        <w:t>conflict, one</w:t>
      </w:r>
      <w:r w:rsidR="00333DD7" w:rsidRPr="002E0C57">
        <w:rPr>
          <w:rFonts w:cstheme="minorHAnsi"/>
        </w:rPr>
        <w:t xml:space="preserve"> visit was conducted remotely, a preview of things to come. The final visit was cancelled due to the pandemic and </w:t>
      </w:r>
      <w:r w:rsidR="00FA44BB" w:rsidRPr="002E0C57">
        <w:rPr>
          <w:rFonts w:cstheme="minorHAnsi"/>
        </w:rPr>
        <w:t>everyone was too overwhelmed to carry it out through technology.</w:t>
      </w:r>
    </w:p>
    <w:p w14:paraId="79193E01" w14:textId="1232A408" w:rsidR="00FA44BB" w:rsidRPr="002E0C57" w:rsidRDefault="00FA44BB" w:rsidP="001E21C4">
      <w:pPr>
        <w:rPr>
          <w:rFonts w:cstheme="minorHAnsi"/>
        </w:rPr>
      </w:pPr>
      <w:r w:rsidRPr="002E0C57">
        <w:rPr>
          <w:rFonts w:cstheme="minorHAnsi"/>
        </w:rPr>
        <w:t xml:space="preserve">The success of the tours </w:t>
      </w:r>
      <w:r w:rsidR="009576F4" w:rsidRPr="002E0C57">
        <w:rPr>
          <w:rFonts w:cstheme="minorHAnsi"/>
        </w:rPr>
        <w:t xml:space="preserve">in relation to building good will </w:t>
      </w:r>
      <w:r w:rsidRPr="002E0C57">
        <w:rPr>
          <w:rFonts w:cstheme="minorHAnsi"/>
        </w:rPr>
        <w:t xml:space="preserve">and the experience of doing one remotely, made it apparent </w:t>
      </w:r>
      <w:r w:rsidR="00772F9C" w:rsidRPr="002E0C57">
        <w:rPr>
          <w:rFonts w:cstheme="minorHAnsi"/>
        </w:rPr>
        <w:t>that with the inability to travel</w:t>
      </w:r>
      <w:r w:rsidR="004B0B7A" w:rsidRPr="002E0C57">
        <w:rPr>
          <w:rFonts w:cstheme="minorHAnsi"/>
        </w:rPr>
        <w:t xml:space="preserve"> due to COVID-19 and the size of our state</w:t>
      </w:r>
      <w:r w:rsidR="00772F9C" w:rsidRPr="002E0C57">
        <w:rPr>
          <w:rFonts w:cstheme="minorHAnsi"/>
        </w:rPr>
        <w:t>, it was time to develop an online monitoring system</w:t>
      </w:r>
      <w:r w:rsidR="009576F4" w:rsidRPr="002E0C57">
        <w:rPr>
          <w:rFonts w:cstheme="minorHAnsi"/>
        </w:rPr>
        <w:t xml:space="preserve"> and revised risk management tool</w:t>
      </w:r>
      <w:r w:rsidR="00772F9C" w:rsidRPr="002E0C57">
        <w:rPr>
          <w:rFonts w:cstheme="minorHAnsi"/>
        </w:rPr>
        <w:t>. Th</w:t>
      </w:r>
      <w:r w:rsidR="009576F4" w:rsidRPr="002E0C57">
        <w:rPr>
          <w:rFonts w:cstheme="minorHAnsi"/>
        </w:rPr>
        <w:t>ose</w:t>
      </w:r>
      <w:r w:rsidR="00772F9C" w:rsidRPr="002E0C57">
        <w:rPr>
          <w:rFonts w:cstheme="minorHAnsi"/>
        </w:rPr>
        <w:t xml:space="preserve"> will be developed during the </w:t>
      </w:r>
      <w:r w:rsidR="004B0B7A" w:rsidRPr="002E0C57">
        <w:rPr>
          <w:rFonts w:cstheme="minorHAnsi"/>
        </w:rPr>
        <w:t>spring of 2021.</w:t>
      </w:r>
    </w:p>
    <w:p w14:paraId="329CCAF5" w14:textId="40609334" w:rsidR="00936891" w:rsidRPr="002E0C57" w:rsidRDefault="00342EAF" w:rsidP="00936891">
      <w:pPr>
        <w:rPr>
          <w:rFonts w:cstheme="minorHAnsi"/>
        </w:rPr>
      </w:pPr>
      <w:r w:rsidRPr="002E0C57">
        <w:rPr>
          <w:rFonts w:cstheme="minorHAnsi"/>
        </w:rPr>
        <w:t xml:space="preserve">Most of the information regarding </w:t>
      </w:r>
      <w:r w:rsidR="00514361">
        <w:rPr>
          <w:rFonts w:cstheme="minorHAnsi"/>
        </w:rPr>
        <w:t xml:space="preserve">the section on </w:t>
      </w:r>
      <w:r w:rsidRPr="002E0C57">
        <w:rPr>
          <w:rFonts w:cstheme="minorHAnsi"/>
        </w:rPr>
        <w:t>permissible activities is captured in the section above.</w:t>
      </w:r>
    </w:p>
    <w:p w14:paraId="501BAE5C" w14:textId="0D653739" w:rsidR="00936891" w:rsidRPr="002E0C57" w:rsidRDefault="00936891" w:rsidP="00016C2F">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Performance Data Analysis</w:t>
      </w:r>
    </w:p>
    <w:p w14:paraId="1EA351B5" w14:textId="77777777" w:rsidR="00FA0170" w:rsidRPr="002E0C57" w:rsidRDefault="00FA0170" w:rsidP="004529BA">
      <w:pPr>
        <w:rPr>
          <w:rFonts w:cstheme="minorHAnsi"/>
          <w:b/>
          <w:bCs/>
          <w:color w:val="000000"/>
        </w:rPr>
      </w:pPr>
    </w:p>
    <w:p w14:paraId="7EDCF6EC" w14:textId="5A36C4BE" w:rsidR="004529BA" w:rsidRPr="002E0C57" w:rsidRDefault="004529BA" w:rsidP="004529BA">
      <w:pPr>
        <w:rPr>
          <w:rFonts w:cstheme="minorHAnsi"/>
          <w:color w:val="000000"/>
        </w:rPr>
      </w:pPr>
      <w:r w:rsidRPr="002E0C57">
        <w:rPr>
          <w:rFonts w:cstheme="minorHAnsi"/>
          <w:color w:val="000000"/>
        </w:rPr>
        <w:t xml:space="preserve">Based on the core employment indicators, adult education in Maine showed improvement from the previous year. Rates in employment for both the second and fourth quarter after exit increased and the average median earnings for Maine adult learners increased by over 10%.  </w:t>
      </w:r>
    </w:p>
    <w:p w14:paraId="7DF9C706" w14:textId="77777777" w:rsidR="004529BA" w:rsidRPr="002E0C57" w:rsidRDefault="004529BA" w:rsidP="004529BA">
      <w:pPr>
        <w:rPr>
          <w:rFonts w:cstheme="minorHAnsi"/>
          <w:color w:val="000000"/>
        </w:rPr>
      </w:pPr>
      <w:r w:rsidRPr="002E0C57">
        <w:rPr>
          <w:rFonts w:cstheme="minorHAnsi"/>
          <w:noProof/>
        </w:rPr>
        <w:drawing>
          <wp:anchor distT="0" distB="0" distL="114300" distR="114300" simplePos="0" relativeHeight="251661312" behindDoc="1" locked="0" layoutInCell="1" allowOverlap="1" wp14:anchorId="079AC302" wp14:editId="5737D82D">
            <wp:simplePos x="0" y="0"/>
            <wp:positionH relativeFrom="column">
              <wp:posOffset>238125</wp:posOffset>
            </wp:positionH>
            <wp:positionV relativeFrom="paragraph">
              <wp:posOffset>5080</wp:posOffset>
            </wp:positionV>
            <wp:extent cx="5362575" cy="962025"/>
            <wp:effectExtent l="0" t="0" r="9525" b="9525"/>
            <wp:wrapTight wrapText="bothSides">
              <wp:wrapPolygon edited="0">
                <wp:start x="10896" y="0"/>
                <wp:lineTo x="1688" y="4705"/>
                <wp:lineTo x="1688" y="6844"/>
                <wp:lineTo x="0" y="7699"/>
                <wp:lineTo x="0" y="12404"/>
                <wp:lineTo x="1228" y="13687"/>
                <wp:lineTo x="1151" y="20531"/>
                <wp:lineTo x="4527" y="21386"/>
                <wp:lineTo x="21562" y="21386"/>
                <wp:lineTo x="21562" y="1711"/>
                <wp:lineTo x="20718" y="428"/>
                <wp:lineTo x="17725" y="0"/>
                <wp:lineTo x="1089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962025"/>
                    </a:xfrm>
                    <a:prstGeom prst="rect">
                      <a:avLst/>
                    </a:prstGeom>
                    <a:noFill/>
                    <a:ln>
                      <a:noFill/>
                    </a:ln>
                  </pic:spPr>
                </pic:pic>
              </a:graphicData>
            </a:graphic>
          </wp:anchor>
        </w:drawing>
      </w:r>
    </w:p>
    <w:p w14:paraId="725524CB" w14:textId="77777777" w:rsidR="004529BA" w:rsidRPr="002E0C57" w:rsidRDefault="004529BA" w:rsidP="004529BA">
      <w:pPr>
        <w:rPr>
          <w:rFonts w:cstheme="minorHAnsi"/>
          <w:color w:val="000000"/>
        </w:rPr>
      </w:pPr>
      <w:r w:rsidRPr="002E0C57">
        <w:rPr>
          <w:rFonts w:cstheme="minorHAnsi"/>
          <w:color w:val="000000"/>
        </w:rPr>
        <w:t xml:space="preserve">  </w:t>
      </w:r>
    </w:p>
    <w:p w14:paraId="47716413" w14:textId="77777777" w:rsidR="004529BA" w:rsidRPr="002E0C57" w:rsidRDefault="004529BA" w:rsidP="004529BA">
      <w:pPr>
        <w:rPr>
          <w:rFonts w:cstheme="minorHAnsi"/>
          <w:b/>
          <w:bCs/>
          <w:color w:val="000000"/>
        </w:rPr>
      </w:pPr>
    </w:p>
    <w:p w14:paraId="64190F22" w14:textId="77777777" w:rsidR="004529BA" w:rsidRPr="002E0C57" w:rsidRDefault="004529BA" w:rsidP="004529BA">
      <w:pPr>
        <w:rPr>
          <w:rFonts w:cstheme="minorHAnsi"/>
          <w:color w:val="000000"/>
        </w:rPr>
      </w:pPr>
    </w:p>
    <w:p w14:paraId="640571CE" w14:textId="61F161C1" w:rsidR="004529BA" w:rsidRPr="002E0C57" w:rsidRDefault="00932D0A" w:rsidP="004529BA">
      <w:pPr>
        <w:rPr>
          <w:rFonts w:cstheme="minorHAnsi"/>
          <w:color w:val="000000"/>
        </w:rPr>
      </w:pPr>
      <w:r w:rsidRPr="002E0C57">
        <w:rPr>
          <w:rFonts w:cstheme="minorHAnsi"/>
          <w:color w:val="000000"/>
        </w:rPr>
        <w:t>T</w:t>
      </w:r>
      <w:r w:rsidR="004529BA" w:rsidRPr="002E0C57">
        <w:rPr>
          <w:rFonts w:cstheme="minorHAnsi"/>
          <w:color w:val="000000"/>
        </w:rPr>
        <w:t xml:space="preserve">he data used to calculate employment outcomes is prior to March of 2020 </w:t>
      </w:r>
      <w:r w:rsidRPr="002E0C57">
        <w:rPr>
          <w:rFonts w:cstheme="minorHAnsi"/>
          <w:color w:val="000000"/>
        </w:rPr>
        <w:t xml:space="preserve">and indicated that Maine adult education </w:t>
      </w:r>
      <w:r w:rsidR="00A131EB" w:rsidRPr="002E0C57">
        <w:rPr>
          <w:rFonts w:cstheme="minorHAnsi"/>
          <w:color w:val="000000"/>
        </w:rPr>
        <w:t xml:space="preserve">programming and services were showing slow, steady growth </w:t>
      </w:r>
      <w:r w:rsidR="006F1E28" w:rsidRPr="002E0C57">
        <w:rPr>
          <w:rFonts w:cstheme="minorHAnsi"/>
          <w:color w:val="000000"/>
        </w:rPr>
        <w:t xml:space="preserve">in aiding learners </w:t>
      </w:r>
      <w:r w:rsidR="00FA3F3A">
        <w:rPr>
          <w:rFonts w:cstheme="minorHAnsi"/>
          <w:color w:val="000000"/>
        </w:rPr>
        <w:t>enter and remain in the workforce.</w:t>
      </w:r>
      <w:bookmarkStart w:id="0" w:name="_GoBack"/>
      <w:bookmarkEnd w:id="0"/>
      <w:r w:rsidR="006F1E28" w:rsidRPr="002E0C57">
        <w:rPr>
          <w:rFonts w:cstheme="minorHAnsi"/>
          <w:color w:val="000000"/>
        </w:rPr>
        <w:t xml:space="preserve"> </w:t>
      </w:r>
      <w:r w:rsidR="004529BA" w:rsidRPr="002E0C57">
        <w:rPr>
          <w:rFonts w:cstheme="minorHAnsi"/>
          <w:color w:val="000000"/>
        </w:rPr>
        <w:t>In the coming years, we anticipate the impact of the Covid</w:t>
      </w:r>
      <w:r w:rsidR="00903ACB" w:rsidRPr="002E0C57">
        <w:rPr>
          <w:rFonts w:cstheme="minorHAnsi"/>
          <w:color w:val="000000"/>
        </w:rPr>
        <w:t>-</w:t>
      </w:r>
      <w:r w:rsidR="004529BA" w:rsidRPr="002E0C57">
        <w:rPr>
          <w:rFonts w:cstheme="minorHAnsi"/>
          <w:color w:val="000000"/>
        </w:rPr>
        <w:t xml:space="preserve">19 pandemic will be reflected in the employment and wage outcomes of Maine learners.          </w:t>
      </w:r>
    </w:p>
    <w:p w14:paraId="706E440B" w14:textId="4C2A6A1F" w:rsidR="00153F87" w:rsidRPr="002E0C57" w:rsidRDefault="004529BA" w:rsidP="004529BA">
      <w:pPr>
        <w:rPr>
          <w:rFonts w:cstheme="minorHAnsi"/>
          <w:color w:val="000000"/>
        </w:rPr>
      </w:pPr>
      <w:r w:rsidRPr="002E0C57">
        <w:rPr>
          <w:rFonts w:cstheme="minorHAnsi"/>
          <w:color w:val="000000"/>
        </w:rPr>
        <w:t>Other performance measures clearly demonstrate the negative impact Covid</w:t>
      </w:r>
      <w:r w:rsidR="00903ACB" w:rsidRPr="002E0C57">
        <w:rPr>
          <w:rFonts w:cstheme="minorHAnsi"/>
          <w:color w:val="000000"/>
        </w:rPr>
        <w:t>-</w:t>
      </w:r>
      <w:r w:rsidRPr="002E0C57">
        <w:rPr>
          <w:rFonts w:cstheme="minorHAnsi"/>
          <w:color w:val="000000"/>
        </w:rPr>
        <w:t xml:space="preserve">19 had on Maine’s adult education programming and services. </w:t>
      </w:r>
    </w:p>
    <w:p w14:paraId="57977B24" w14:textId="77777777" w:rsidR="004529BA" w:rsidRPr="002E0C57" w:rsidRDefault="004529BA" w:rsidP="004529BA">
      <w:pPr>
        <w:rPr>
          <w:rFonts w:cstheme="minorHAnsi"/>
          <w:color w:val="000000"/>
        </w:rPr>
      </w:pPr>
      <w:r w:rsidRPr="002E0C57">
        <w:rPr>
          <w:rFonts w:cstheme="minorHAnsi"/>
          <w:noProof/>
        </w:rPr>
        <w:lastRenderedPageBreak/>
        <w:drawing>
          <wp:anchor distT="0" distB="0" distL="114300" distR="114300" simplePos="0" relativeHeight="251665408" behindDoc="1" locked="0" layoutInCell="1" allowOverlap="1" wp14:anchorId="146D15E2" wp14:editId="37ED4948">
            <wp:simplePos x="0" y="0"/>
            <wp:positionH relativeFrom="column">
              <wp:posOffset>323850</wp:posOffset>
            </wp:positionH>
            <wp:positionV relativeFrom="paragraph">
              <wp:posOffset>61595</wp:posOffset>
            </wp:positionV>
            <wp:extent cx="5229225" cy="962025"/>
            <wp:effectExtent l="0" t="0" r="9525" b="9525"/>
            <wp:wrapTight wrapText="bothSides">
              <wp:wrapPolygon edited="0">
                <wp:start x="10859" y="0"/>
                <wp:lineTo x="1810" y="4277"/>
                <wp:lineTo x="551" y="5133"/>
                <wp:lineTo x="551" y="6844"/>
                <wp:lineTo x="0" y="7699"/>
                <wp:lineTo x="0" y="11549"/>
                <wp:lineTo x="10859" y="13687"/>
                <wp:lineTo x="1180" y="13687"/>
                <wp:lineTo x="1180" y="20531"/>
                <wp:lineTo x="10859" y="21386"/>
                <wp:lineTo x="21561" y="21386"/>
                <wp:lineTo x="21561" y="1711"/>
                <wp:lineTo x="20774" y="428"/>
                <wp:lineTo x="17862" y="0"/>
                <wp:lineTo x="1085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225" cy="962025"/>
                    </a:xfrm>
                    <a:prstGeom prst="rect">
                      <a:avLst/>
                    </a:prstGeom>
                    <a:noFill/>
                    <a:ln>
                      <a:noFill/>
                    </a:ln>
                  </pic:spPr>
                </pic:pic>
              </a:graphicData>
            </a:graphic>
          </wp:anchor>
        </w:drawing>
      </w:r>
    </w:p>
    <w:p w14:paraId="695C006C" w14:textId="77777777" w:rsidR="004529BA" w:rsidRPr="002E0C57" w:rsidRDefault="004529BA" w:rsidP="004529BA">
      <w:pPr>
        <w:rPr>
          <w:rFonts w:cstheme="minorHAnsi"/>
          <w:color w:val="000000"/>
        </w:rPr>
      </w:pPr>
    </w:p>
    <w:p w14:paraId="0989221A" w14:textId="77777777" w:rsidR="004529BA" w:rsidRPr="002E0C57" w:rsidRDefault="004529BA" w:rsidP="004529BA">
      <w:pPr>
        <w:rPr>
          <w:rFonts w:cstheme="minorHAnsi"/>
          <w:color w:val="000000"/>
        </w:rPr>
      </w:pPr>
    </w:p>
    <w:p w14:paraId="6CEE0460" w14:textId="77777777" w:rsidR="004529BA" w:rsidRPr="002E0C57" w:rsidRDefault="004529BA" w:rsidP="004529BA">
      <w:pPr>
        <w:rPr>
          <w:rFonts w:cstheme="minorHAnsi"/>
          <w:color w:val="000000"/>
        </w:rPr>
      </w:pPr>
    </w:p>
    <w:p w14:paraId="6844D730" w14:textId="5A4563CB" w:rsidR="004529BA" w:rsidRPr="002E0C57" w:rsidRDefault="00E727F7" w:rsidP="004529BA">
      <w:pPr>
        <w:rPr>
          <w:rFonts w:cstheme="minorHAnsi"/>
          <w:color w:val="000000"/>
        </w:rPr>
      </w:pPr>
      <w:r w:rsidRPr="002E0C57">
        <w:rPr>
          <w:rFonts w:cstheme="minorHAnsi"/>
          <w:color w:val="000000"/>
        </w:rPr>
        <w:t xml:space="preserve">In </w:t>
      </w:r>
      <w:r w:rsidR="0007168C" w:rsidRPr="002E0C57">
        <w:rPr>
          <w:rFonts w:cstheme="minorHAnsi"/>
          <w:color w:val="000000"/>
        </w:rPr>
        <w:t>P</w:t>
      </w:r>
      <w:r w:rsidRPr="002E0C57">
        <w:rPr>
          <w:rFonts w:cstheme="minorHAnsi"/>
          <w:color w:val="000000"/>
        </w:rPr>
        <w:t xml:space="preserve">Y 19 </w:t>
      </w:r>
      <w:r w:rsidR="004529BA" w:rsidRPr="002E0C57">
        <w:rPr>
          <w:rFonts w:cstheme="minorHAnsi"/>
          <w:color w:val="000000"/>
        </w:rPr>
        <w:t xml:space="preserve">Maine saw significant decreases in overall enrollment numbers, learner posttest rates, and measurable skill gains. </w:t>
      </w:r>
      <w:r w:rsidR="0048486F" w:rsidRPr="002E0C57">
        <w:rPr>
          <w:rFonts w:cstheme="minorHAnsi"/>
          <w:color w:val="000000"/>
        </w:rPr>
        <w:t xml:space="preserve">To minimize the effect </w:t>
      </w:r>
      <w:r w:rsidR="00B02053" w:rsidRPr="002E0C57">
        <w:rPr>
          <w:rFonts w:cstheme="minorHAnsi"/>
          <w:color w:val="000000"/>
        </w:rPr>
        <w:t>of COVID-19 on our data</w:t>
      </w:r>
      <w:r w:rsidR="004529BA" w:rsidRPr="002E0C57">
        <w:rPr>
          <w:rFonts w:cstheme="minorHAnsi"/>
          <w:color w:val="000000"/>
        </w:rPr>
        <w:t xml:space="preserve"> we compared each year’s program data from July through February only</w:t>
      </w:r>
      <w:r w:rsidR="00B02053" w:rsidRPr="002E0C57">
        <w:rPr>
          <w:rFonts w:cstheme="minorHAnsi"/>
          <w:color w:val="000000"/>
        </w:rPr>
        <w:t>.</w:t>
      </w:r>
    </w:p>
    <w:p w14:paraId="5EFCB834" w14:textId="77777777" w:rsidR="000116FF" w:rsidRPr="002E0C57" w:rsidRDefault="00370FEF" w:rsidP="00BE63AD">
      <w:pPr>
        <w:rPr>
          <w:rFonts w:cstheme="minorHAnsi"/>
          <w:color w:val="000000"/>
        </w:rPr>
      </w:pPr>
      <w:r w:rsidRPr="002E0C57">
        <w:rPr>
          <w:rFonts w:cstheme="minorHAnsi"/>
          <w:color w:val="000000"/>
        </w:rPr>
        <w:t>O</w:t>
      </w:r>
      <w:r w:rsidR="004529BA" w:rsidRPr="002E0C57">
        <w:rPr>
          <w:rFonts w:cstheme="minorHAnsi"/>
          <w:color w:val="000000"/>
        </w:rPr>
        <w:t xml:space="preserve">verall enrollment </w:t>
      </w:r>
      <w:r w:rsidRPr="002E0C57">
        <w:rPr>
          <w:rFonts w:cstheme="minorHAnsi"/>
          <w:color w:val="000000"/>
        </w:rPr>
        <w:t xml:space="preserve">in PY19 </w:t>
      </w:r>
      <w:r w:rsidR="004529BA" w:rsidRPr="002E0C57">
        <w:rPr>
          <w:rFonts w:cstheme="minorHAnsi"/>
          <w:color w:val="000000"/>
        </w:rPr>
        <w:t xml:space="preserve">was down over 16% from </w:t>
      </w:r>
      <w:r w:rsidRPr="002E0C57">
        <w:rPr>
          <w:rFonts w:cstheme="minorHAnsi"/>
          <w:color w:val="000000"/>
        </w:rPr>
        <w:t xml:space="preserve">PY18 </w:t>
      </w:r>
      <w:r w:rsidR="004529BA" w:rsidRPr="002E0C57">
        <w:rPr>
          <w:rFonts w:cstheme="minorHAnsi"/>
          <w:color w:val="000000"/>
        </w:rPr>
        <w:t xml:space="preserve">and enrollment from July </w:t>
      </w:r>
      <w:r w:rsidR="00592DB2" w:rsidRPr="002E0C57">
        <w:rPr>
          <w:rFonts w:cstheme="minorHAnsi"/>
          <w:color w:val="000000"/>
        </w:rPr>
        <w:t xml:space="preserve">2019 </w:t>
      </w:r>
      <w:r w:rsidR="004529BA" w:rsidRPr="002E0C57">
        <w:rPr>
          <w:rFonts w:cstheme="minorHAnsi"/>
          <w:color w:val="000000"/>
        </w:rPr>
        <w:t>through February</w:t>
      </w:r>
      <w:r w:rsidR="00592DB2" w:rsidRPr="002E0C57">
        <w:rPr>
          <w:rFonts w:cstheme="minorHAnsi"/>
          <w:color w:val="000000"/>
        </w:rPr>
        <w:t xml:space="preserve"> 2020</w:t>
      </w:r>
      <w:r w:rsidR="004529BA" w:rsidRPr="002E0C57">
        <w:rPr>
          <w:rFonts w:cstheme="minorHAnsi"/>
          <w:color w:val="000000"/>
        </w:rPr>
        <w:t xml:space="preserve"> was also down from the previous year, but by just 8 %.  Learner demographics continue to shift toward serving more ESL learners. July through February </w:t>
      </w:r>
      <w:r w:rsidR="00592DB2" w:rsidRPr="002E0C57">
        <w:rPr>
          <w:rFonts w:cstheme="minorHAnsi"/>
          <w:color w:val="000000"/>
        </w:rPr>
        <w:t xml:space="preserve">PY19 </w:t>
      </w:r>
      <w:r w:rsidR="004529BA" w:rsidRPr="002E0C57">
        <w:rPr>
          <w:rFonts w:cstheme="minorHAnsi"/>
          <w:color w:val="000000"/>
        </w:rPr>
        <w:t xml:space="preserve">data indicated that ESL enrollments were actually up 1.69% year-to-date from the previous year. </w:t>
      </w:r>
    </w:p>
    <w:p w14:paraId="7B6C7926" w14:textId="677A6EE2" w:rsidR="00BE63AD" w:rsidRPr="002E0C57" w:rsidRDefault="00BE63AD" w:rsidP="00BE63AD">
      <w:pPr>
        <w:rPr>
          <w:rFonts w:cstheme="minorHAnsi"/>
          <w:color w:val="000000"/>
        </w:rPr>
      </w:pPr>
      <w:r w:rsidRPr="002E0C57">
        <w:rPr>
          <w:rFonts w:cstheme="minorHAnsi"/>
          <w:noProof/>
        </w:rPr>
        <w:drawing>
          <wp:anchor distT="0" distB="0" distL="114300" distR="114300" simplePos="0" relativeHeight="251649024" behindDoc="1" locked="0" layoutInCell="1" allowOverlap="1" wp14:anchorId="0C7B5E2A" wp14:editId="73D837EA">
            <wp:simplePos x="0" y="0"/>
            <wp:positionH relativeFrom="column">
              <wp:posOffset>247650</wp:posOffset>
            </wp:positionH>
            <wp:positionV relativeFrom="paragraph">
              <wp:posOffset>118745</wp:posOffset>
            </wp:positionV>
            <wp:extent cx="5229225" cy="1152525"/>
            <wp:effectExtent l="0" t="0" r="9525" b="9525"/>
            <wp:wrapTight wrapText="bothSides">
              <wp:wrapPolygon edited="0">
                <wp:start x="10859" y="0"/>
                <wp:lineTo x="3384" y="3927"/>
                <wp:lineTo x="3384" y="5712"/>
                <wp:lineTo x="0" y="6426"/>
                <wp:lineTo x="0" y="11068"/>
                <wp:lineTo x="79" y="17137"/>
                <wp:lineTo x="4957" y="17137"/>
                <wp:lineTo x="315" y="18565"/>
                <wp:lineTo x="315" y="20707"/>
                <wp:lineTo x="5036" y="21421"/>
                <wp:lineTo x="17862" y="21421"/>
                <wp:lineTo x="19908" y="21064"/>
                <wp:lineTo x="21561" y="19279"/>
                <wp:lineTo x="21561" y="13210"/>
                <wp:lineTo x="20380" y="11425"/>
                <wp:lineTo x="21561" y="11068"/>
                <wp:lineTo x="21561" y="1428"/>
                <wp:lineTo x="20774" y="357"/>
                <wp:lineTo x="17862" y="0"/>
                <wp:lineTo x="1085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9225" cy="1152525"/>
                    </a:xfrm>
                    <a:prstGeom prst="rect">
                      <a:avLst/>
                    </a:prstGeom>
                    <a:noFill/>
                    <a:ln>
                      <a:noFill/>
                    </a:ln>
                  </pic:spPr>
                </pic:pic>
              </a:graphicData>
            </a:graphic>
          </wp:anchor>
        </w:drawing>
      </w:r>
    </w:p>
    <w:p w14:paraId="0B70B240" w14:textId="77777777" w:rsidR="00BE63AD" w:rsidRPr="002E0C57" w:rsidRDefault="00BE63AD" w:rsidP="00BE63AD">
      <w:pPr>
        <w:rPr>
          <w:rFonts w:cstheme="minorHAnsi"/>
          <w:color w:val="000000"/>
        </w:rPr>
      </w:pPr>
    </w:p>
    <w:p w14:paraId="7D72F612" w14:textId="77777777" w:rsidR="00BE63AD" w:rsidRPr="002E0C57" w:rsidRDefault="00BE63AD" w:rsidP="00BE63AD">
      <w:pPr>
        <w:rPr>
          <w:rFonts w:cstheme="minorHAnsi"/>
          <w:color w:val="000000"/>
        </w:rPr>
      </w:pPr>
    </w:p>
    <w:p w14:paraId="3E5712EA" w14:textId="77777777" w:rsidR="00BE63AD" w:rsidRPr="002E0C57" w:rsidRDefault="00BE63AD" w:rsidP="00BE63AD">
      <w:pPr>
        <w:rPr>
          <w:rFonts w:cstheme="minorHAnsi"/>
          <w:color w:val="000000"/>
        </w:rPr>
      </w:pPr>
    </w:p>
    <w:p w14:paraId="27341531" w14:textId="77777777" w:rsidR="00BE63AD" w:rsidRPr="002E0C57" w:rsidRDefault="00BE63AD" w:rsidP="00BE63AD">
      <w:pPr>
        <w:rPr>
          <w:rFonts w:cstheme="minorHAnsi"/>
          <w:color w:val="000000"/>
        </w:rPr>
      </w:pPr>
      <w:r w:rsidRPr="002E0C57">
        <w:rPr>
          <w:rFonts w:cstheme="minorHAnsi"/>
          <w:color w:val="000000"/>
        </w:rPr>
        <w:t xml:space="preserve"> </w:t>
      </w:r>
    </w:p>
    <w:p w14:paraId="56FB9130" w14:textId="3A1FD426" w:rsidR="00BE63AD" w:rsidRPr="002E0C57" w:rsidRDefault="00BE63AD" w:rsidP="00BE63AD">
      <w:pPr>
        <w:rPr>
          <w:rFonts w:cstheme="minorHAnsi"/>
          <w:color w:val="000000"/>
        </w:rPr>
      </w:pPr>
      <w:r w:rsidRPr="002E0C57">
        <w:rPr>
          <w:rFonts w:cstheme="minorHAnsi"/>
          <w:color w:val="000000"/>
        </w:rPr>
        <w:t>These enrollment trends indicate that without the impact from Covid</w:t>
      </w:r>
      <w:r w:rsidR="00111E79" w:rsidRPr="002E0C57">
        <w:rPr>
          <w:rFonts w:cstheme="minorHAnsi"/>
          <w:color w:val="000000"/>
        </w:rPr>
        <w:t>-19</w:t>
      </w:r>
      <w:r w:rsidRPr="002E0C57">
        <w:rPr>
          <w:rFonts w:cstheme="minorHAnsi"/>
          <w:color w:val="000000"/>
        </w:rPr>
        <w:t xml:space="preserve">, Maine learner enrollments would have held steady or declined </w:t>
      </w:r>
      <w:r w:rsidR="009269F9" w:rsidRPr="002E0C57">
        <w:rPr>
          <w:rFonts w:cstheme="minorHAnsi"/>
          <w:color w:val="000000"/>
        </w:rPr>
        <w:t xml:space="preserve">only slightly </w:t>
      </w:r>
      <w:r w:rsidRPr="002E0C57">
        <w:rPr>
          <w:rFonts w:cstheme="minorHAnsi"/>
          <w:color w:val="000000"/>
        </w:rPr>
        <w:t>with English language learners continuing to increase as a percent of the overall adult learner population.  This has clear implications for future programming and suggests that meaningful English language acquisition programming and services will need to be prioritized. Clearly,</w:t>
      </w:r>
      <w:r w:rsidR="00D57605" w:rsidRPr="002E0C57">
        <w:rPr>
          <w:rFonts w:cstheme="minorHAnsi"/>
          <w:color w:val="000000"/>
        </w:rPr>
        <w:t xml:space="preserve"> a</w:t>
      </w:r>
      <w:r w:rsidR="00403553" w:rsidRPr="002E0C57">
        <w:rPr>
          <w:rFonts w:cstheme="minorHAnsi"/>
          <w:color w:val="000000"/>
        </w:rPr>
        <w:t xml:space="preserve">s </w:t>
      </w:r>
      <w:r w:rsidR="00D57605" w:rsidRPr="002E0C57">
        <w:rPr>
          <w:rFonts w:cstheme="minorHAnsi"/>
          <w:color w:val="000000"/>
        </w:rPr>
        <w:t>new Mainers begin to resettle throughout the state,</w:t>
      </w:r>
      <w:r w:rsidRPr="002E0C57">
        <w:rPr>
          <w:rFonts w:cstheme="minorHAnsi"/>
          <w:color w:val="000000"/>
        </w:rPr>
        <w:t xml:space="preserve"> Integrated English Language and Civics Education programming will need to expand beyond the greater Portland and Lewiston areas.       </w:t>
      </w:r>
    </w:p>
    <w:p w14:paraId="2305C5C4" w14:textId="0B039A9C" w:rsidR="00BE63AD" w:rsidRPr="002E0C57" w:rsidRDefault="00BE63AD" w:rsidP="00BE63AD">
      <w:pPr>
        <w:rPr>
          <w:rFonts w:cstheme="minorHAnsi"/>
          <w:color w:val="000000"/>
        </w:rPr>
      </w:pPr>
      <w:r w:rsidRPr="002E0C57">
        <w:rPr>
          <w:rFonts w:cstheme="minorHAnsi"/>
          <w:color w:val="000000"/>
        </w:rPr>
        <w:t>When comparing enrollments after March 1</w:t>
      </w:r>
      <w:r w:rsidRPr="002E0C57">
        <w:rPr>
          <w:rFonts w:cstheme="minorHAnsi"/>
          <w:color w:val="000000"/>
          <w:vertAlign w:val="superscript"/>
        </w:rPr>
        <w:t>st</w:t>
      </w:r>
      <w:r w:rsidRPr="002E0C57">
        <w:rPr>
          <w:rFonts w:cstheme="minorHAnsi"/>
          <w:color w:val="000000"/>
        </w:rPr>
        <w:t xml:space="preserve">, the effects of the Covid-19 pandemic are clearly demonstrated. From March to June of 2020, only 94 new learners enrolled in Maine adult education, a drop of more than 85% from the same period in 2019. This represents less than 2% of overall state enrollment and measurable skill gains. </w:t>
      </w:r>
    </w:p>
    <w:p w14:paraId="2F80A40E" w14:textId="77777777" w:rsidR="00BE63AD" w:rsidRPr="002E0C57" w:rsidRDefault="00BE63AD" w:rsidP="00BE63AD">
      <w:pPr>
        <w:rPr>
          <w:rFonts w:cstheme="minorHAnsi"/>
          <w:noProof/>
        </w:rPr>
      </w:pPr>
      <w:r w:rsidRPr="002E0C57">
        <w:rPr>
          <w:rFonts w:cstheme="minorHAnsi"/>
          <w:noProof/>
        </w:rPr>
        <w:drawing>
          <wp:anchor distT="0" distB="0" distL="114300" distR="114300" simplePos="0" relativeHeight="251653120" behindDoc="1" locked="0" layoutInCell="1" allowOverlap="1" wp14:anchorId="48E5F0DC" wp14:editId="385614A5">
            <wp:simplePos x="0" y="0"/>
            <wp:positionH relativeFrom="margin">
              <wp:align>center</wp:align>
            </wp:positionH>
            <wp:positionV relativeFrom="paragraph">
              <wp:posOffset>79375</wp:posOffset>
            </wp:positionV>
            <wp:extent cx="5631180" cy="1245235"/>
            <wp:effectExtent l="0" t="0" r="7620" b="0"/>
            <wp:wrapTight wrapText="bothSides">
              <wp:wrapPolygon edited="0">
                <wp:start x="9938" y="0"/>
                <wp:lineTo x="219" y="4626"/>
                <wp:lineTo x="0" y="7931"/>
                <wp:lineTo x="0" y="10244"/>
                <wp:lineTo x="512" y="11235"/>
                <wp:lineTo x="512" y="15531"/>
                <wp:lineTo x="1096" y="16522"/>
                <wp:lineTo x="1023" y="20818"/>
                <wp:lineTo x="6650" y="21148"/>
                <wp:lineTo x="18999" y="21148"/>
                <wp:lineTo x="20825" y="20818"/>
                <wp:lineTo x="21556" y="19496"/>
                <wp:lineTo x="21556" y="12887"/>
                <wp:lineTo x="20752" y="11235"/>
                <wp:lineTo x="21556" y="10574"/>
                <wp:lineTo x="21556" y="6609"/>
                <wp:lineTo x="18999" y="5287"/>
                <wp:lineTo x="21410" y="4957"/>
                <wp:lineTo x="21410" y="661"/>
                <wp:lineTo x="18999" y="0"/>
                <wp:lineTo x="993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31180"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227B3C" w14:textId="77777777" w:rsidR="00BE63AD" w:rsidRPr="002E0C57" w:rsidRDefault="00BE63AD" w:rsidP="00BE63AD">
      <w:pPr>
        <w:rPr>
          <w:rFonts w:cstheme="minorHAnsi"/>
          <w:noProof/>
        </w:rPr>
      </w:pPr>
    </w:p>
    <w:p w14:paraId="681EE656" w14:textId="3E25ECA3" w:rsidR="00BE63AD" w:rsidRPr="002E0C57" w:rsidRDefault="00BE63AD" w:rsidP="00BE63AD">
      <w:pPr>
        <w:rPr>
          <w:rFonts w:cstheme="minorHAnsi"/>
          <w:color w:val="000000"/>
        </w:rPr>
      </w:pPr>
      <w:r w:rsidRPr="002E0C57">
        <w:rPr>
          <w:rFonts w:cstheme="minorHAnsi"/>
          <w:color w:val="000000"/>
        </w:rPr>
        <w:lastRenderedPageBreak/>
        <w:t>In the previous year, 638 new enrollments occurred after March 1</w:t>
      </w:r>
      <w:r w:rsidRPr="002E0C57">
        <w:rPr>
          <w:rFonts w:cstheme="minorHAnsi"/>
          <w:color w:val="000000"/>
          <w:vertAlign w:val="superscript"/>
        </w:rPr>
        <w:t>st</w:t>
      </w:r>
      <w:r w:rsidRPr="002E0C57">
        <w:rPr>
          <w:rFonts w:cstheme="minorHAnsi"/>
          <w:color w:val="000000"/>
        </w:rPr>
        <w:t xml:space="preserve">, accounting for 11% of the overall enrollment for the year and 10% of the Measurable Skill Gains achieved. Maine adult education is open year-round, </w:t>
      </w:r>
      <w:r w:rsidR="0077054D" w:rsidRPr="002E0C57">
        <w:rPr>
          <w:rFonts w:cstheme="minorHAnsi"/>
          <w:color w:val="000000"/>
        </w:rPr>
        <w:t>but</w:t>
      </w:r>
      <w:r w:rsidRPr="002E0C57">
        <w:rPr>
          <w:rFonts w:cstheme="minorHAnsi"/>
          <w:color w:val="000000"/>
        </w:rPr>
        <w:t xml:space="preserve"> the bulk of posttesting and measurable skill gains occur after March 1</w:t>
      </w:r>
      <w:r w:rsidRPr="002E0C57">
        <w:rPr>
          <w:rFonts w:cstheme="minorHAnsi"/>
          <w:color w:val="000000"/>
          <w:vertAlign w:val="superscript"/>
        </w:rPr>
        <w:t>st</w:t>
      </w:r>
      <w:r w:rsidRPr="002E0C57">
        <w:rPr>
          <w:rFonts w:cstheme="minorHAnsi"/>
          <w:color w:val="000000"/>
        </w:rPr>
        <w:t>. The effects of the Covid-19 pandemic are also seen in high school equivalency test volume and credential data. Of the 5,894 HiSET tests given in PY18, almost half (2,834) were administered after March 1</w:t>
      </w:r>
      <w:r w:rsidRPr="002E0C57">
        <w:rPr>
          <w:rFonts w:cstheme="minorHAnsi"/>
          <w:color w:val="000000"/>
          <w:vertAlign w:val="superscript"/>
        </w:rPr>
        <w:t>st</w:t>
      </w:r>
      <w:r w:rsidRPr="002E0C57">
        <w:rPr>
          <w:rFonts w:cstheme="minorHAnsi"/>
          <w:color w:val="000000"/>
        </w:rPr>
        <w:t xml:space="preserve">.  In PY19, this number decreased 67% to 927 tests administered. In a normal year, Maine averages around 490 HiSET tests administered per month, but in April of 2020 just 35 HiSET tests were administered statewide- almost 94% less than April of 2019.  </w:t>
      </w:r>
      <w:r w:rsidR="00CF6412" w:rsidRPr="002E0C57">
        <w:rPr>
          <w:rFonts w:cstheme="minorHAnsi"/>
          <w:color w:val="000000"/>
        </w:rPr>
        <w:t>This lack of testing can be attributed to the state-wide closure of school building where the</w:t>
      </w:r>
      <w:r w:rsidR="00BE7271" w:rsidRPr="002E0C57">
        <w:rPr>
          <w:rFonts w:cstheme="minorHAnsi"/>
          <w:color w:val="000000"/>
        </w:rPr>
        <w:t xml:space="preserve"> </w:t>
      </w:r>
      <w:r w:rsidR="00CF6412" w:rsidRPr="002E0C57">
        <w:rPr>
          <w:rFonts w:cstheme="minorHAnsi"/>
          <w:color w:val="000000"/>
        </w:rPr>
        <w:t>majority of our test</w:t>
      </w:r>
      <w:r w:rsidR="002B54C6" w:rsidRPr="002E0C57">
        <w:rPr>
          <w:rFonts w:cstheme="minorHAnsi"/>
          <w:color w:val="000000"/>
        </w:rPr>
        <w:t>ing sites are located.</w:t>
      </w:r>
    </w:p>
    <w:p w14:paraId="73C6C56A" w14:textId="2B4FBDCD" w:rsidR="00BE63AD" w:rsidRPr="002E0C57" w:rsidRDefault="00BE63AD" w:rsidP="00BE63AD">
      <w:pPr>
        <w:rPr>
          <w:rFonts w:cstheme="minorHAnsi"/>
          <w:color w:val="000000"/>
        </w:rPr>
      </w:pPr>
      <w:r w:rsidRPr="002E0C57">
        <w:rPr>
          <w:rFonts w:cstheme="minorHAnsi"/>
          <w:color w:val="000000"/>
        </w:rPr>
        <w:t>One area less effected by the Covid-19 pandemic is the percent of adult education learners agreeing to a data match. Historically, this has been a problem for Maine with just over half of Maine’s learners agreeing to a data match in any given year. To improve our data match release rate, we developed an Emergency Response Team (ERT)</w:t>
      </w:r>
      <w:r w:rsidR="00C22BF6" w:rsidRPr="002E0C57">
        <w:rPr>
          <w:rFonts w:cstheme="minorHAnsi"/>
          <w:color w:val="000000"/>
        </w:rPr>
        <w:t xml:space="preserve"> of practitioners</w:t>
      </w:r>
      <w:r w:rsidRPr="002E0C57">
        <w:rPr>
          <w:rFonts w:cstheme="minorHAnsi"/>
          <w:color w:val="000000"/>
        </w:rPr>
        <w:t xml:space="preserve"> whose focus was to provide guidance, resources, and technical assistance to increase the rate of learners signing the data match release form.  We also established a new state target- the Data Match Release Rate </w:t>
      </w:r>
      <w:r w:rsidR="00E777E2" w:rsidRPr="002E0C57">
        <w:rPr>
          <w:rFonts w:cstheme="minorHAnsi"/>
          <w:color w:val="000000"/>
        </w:rPr>
        <w:t>T</w:t>
      </w:r>
      <w:r w:rsidRPr="002E0C57">
        <w:rPr>
          <w:rFonts w:cstheme="minorHAnsi"/>
          <w:color w:val="000000"/>
        </w:rPr>
        <w:t>arget,</w:t>
      </w:r>
      <w:r w:rsidR="00E777E2" w:rsidRPr="002E0C57">
        <w:rPr>
          <w:rFonts w:cstheme="minorHAnsi"/>
          <w:color w:val="000000"/>
        </w:rPr>
        <w:t xml:space="preserve"> </w:t>
      </w:r>
      <w:r w:rsidRPr="002E0C57">
        <w:rPr>
          <w:rFonts w:cstheme="minorHAnsi"/>
          <w:color w:val="000000"/>
        </w:rPr>
        <w:t xml:space="preserve">and challenged all local programs to achieve a 90% data match release rate. The rate was calculated and tracked on the quarterly data report </w:t>
      </w:r>
      <w:r w:rsidR="003D4125" w:rsidRPr="002E0C57">
        <w:rPr>
          <w:rFonts w:cstheme="minorHAnsi"/>
          <w:color w:val="000000"/>
        </w:rPr>
        <w:t xml:space="preserve">and available to </w:t>
      </w:r>
      <w:r w:rsidRPr="002E0C57">
        <w:rPr>
          <w:rFonts w:cstheme="minorHAnsi"/>
          <w:color w:val="000000"/>
        </w:rPr>
        <w:t>all programs</w:t>
      </w:r>
      <w:r w:rsidR="00162427" w:rsidRPr="002E0C57">
        <w:rPr>
          <w:rFonts w:cstheme="minorHAnsi"/>
          <w:color w:val="000000"/>
        </w:rPr>
        <w:t xml:space="preserve"> to view.</w:t>
      </w:r>
      <w:r w:rsidRPr="002E0C57">
        <w:rPr>
          <w:rFonts w:cstheme="minorHAnsi"/>
          <w:color w:val="000000"/>
        </w:rPr>
        <w:t xml:space="preserve"> </w:t>
      </w:r>
    </w:p>
    <w:p w14:paraId="5C2787BB" w14:textId="2D87907E" w:rsidR="00BE63AD" w:rsidRPr="002E0C57" w:rsidRDefault="00BE63AD" w:rsidP="00BE63AD">
      <w:pPr>
        <w:rPr>
          <w:rFonts w:cstheme="minorHAnsi"/>
          <w:color w:val="000000"/>
        </w:rPr>
      </w:pPr>
      <w:r w:rsidRPr="002E0C57">
        <w:rPr>
          <w:rFonts w:cstheme="minorHAnsi"/>
          <w:color w:val="000000"/>
        </w:rPr>
        <w:t xml:space="preserve">For the most part, the results of this effort have been effective. The data match rate overall has increased 1.39% from PY17 (the 2017-2018 academic year). </w:t>
      </w:r>
      <w:r w:rsidR="007E46F0" w:rsidRPr="002E0C57">
        <w:rPr>
          <w:rFonts w:cstheme="minorHAnsi"/>
          <w:color w:val="000000"/>
        </w:rPr>
        <w:t xml:space="preserve"> E</w:t>
      </w:r>
      <w:r w:rsidRPr="002E0C57">
        <w:rPr>
          <w:rFonts w:cstheme="minorHAnsi"/>
          <w:color w:val="000000"/>
        </w:rPr>
        <w:t xml:space="preserve">xcept </w:t>
      </w:r>
      <w:r w:rsidR="007E46F0" w:rsidRPr="002E0C57">
        <w:rPr>
          <w:rFonts w:cstheme="minorHAnsi"/>
          <w:color w:val="000000"/>
        </w:rPr>
        <w:t xml:space="preserve">for </w:t>
      </w:r>
      <w:r w:rsidRPr="002E0C57">
        <w:rPr>
          <w:rFonts w:cstheme="minorHAnsi"/>
          <w:color w:val="000000"/>
        </w:rPr>
        <w:t>Maine’s largest adult education program,</w:t>
      </w:r>
      <w:r w:rsidR="00AF4FC7" w:rsidRPr="002E0C57">
        <w:rPr>
          <w:rFonts w:cstheme="minorHAnsi"/>
          <w:color w:val="000000"/>
        </w:rPr>
        <w:t xml:space="preserve"> all other programs have contributed to </w:t>
      </w:r>
      <w:r w:rsidRPr="002E0C57">
        <w:rPr>
          <w:rFonts w:cstheme="minorHAnsi"/>
          <w:color w:val="000000"/>
        </w:rPr>
        <w:t>a steady upward trajectory to 83.42%</w:t>
      </w:r>
      <w:r w:rsidR="00D940EE" w:rsidRPr="002E0C57">
        <w:rPr>
          <w:rFonts w:cstheme="minorHAnsi"/>
          <w:color w:val="000000"/>
        </w:rPr>
        <w:t xml:space="preserve"> </w:t>
      </w:r>
      <w:r w:rsidRPr="002E0C57">
        <w:rPr>
          <w:rFonts w:cstheme="minorHAnsi"/>
          <w:color w:val="000000"/>
        </w:rPr>
        <w:t xml:space="preserve"> in PY19.  Unfortunately, the largest adult education program in Maine continues to struggle to improve this metric</w:t>
      </w:r>
      <w:r w:rsidR="008571FF" w:rsidRPr="002E0C57">
        <w:rPr>
          <w:rFonts w:cstheme="minorHAnsi"/>
          <w:color w:val="000000"/>
        </w:rPr>
        <w:t>. S</w:t>
      </w:r>
      <w:r w:rsidRPr="002E0C57">
        <w:rPr>
          <w:rFonts w:cstheme="minorHAnsi"/>
          <w:color w:val="000000"/>
        </w:rPr>
        <w:t>ince th</w:t>
      </w:r>
      <w:r w:rsidR="008571FF" w:rsidRPr="002E0C57">
        <w:rPr>
          <w:rFonts w:cstheme="minorHAnsi"/>
          <w:color w:val="000000"/>
        </w:rPr>
        <w:t xml:space="preserve">at program </w:t>
      </w:r>
      <w:r w:rsidRPr="002E0C57">
        <w:rPr>
          <w:rFonts w:cstheme="minorHAnsi"/>
          <w:color w:val="000000"/>
        </w:rPr>
        <w:t>make</w:t>
      </w:r>
      <w:r w:rsidR="008571FF" w:rsidRPr="002E0C57">
        <w:rPr>
          <w:rFonts w:cstheme="minorHAnsi"/>
          <w:color w:val="000000"/>
        </w:rPr>
        <w:t>s</w:t>
      </w:r>
      <w:r w:rsidRPr="002E0C57">
        <w:rPr>
          <w:rFonts w:cstheme="minorHAnsi"/>
          <w:color w:val="000000"/>
        </w:rPr>
        <w:t xml:space="preserve"> up over 25% of Maine’s NRS enrollments, their low data match release rate has a significant negative impact on the total state data match rate. </w:t>
      </w:r>
      <w:r w:rsidR="00FD731F" w:rsidRPr="002E0C57">
        <w:rPr>
          <w:rFonts w:cstheme="minorHAnsi"/>
          <w:color w:val="000000"/>
        </w:rPr>
        <w:t>Despite all our technical assistance</w:t>
      </w:r>
      <w:r w:rsidRPr="002E0C57">
        <w:rPr>
          <w:rFonts w:cstheme="minorHAnsi"/>
          <w:color w:val="000000"/>
        </w:rPr>
        <w:t xml:space="preserve"> efforts, the rate for th</w:t>
      </w:r>
      <w:r w:rsidR="00C73FD6" w:rsidRPr="002E0C57">
        <w:rPr>
          <w:rFonts w:cstheme="minorHAnsi"/>
          <w:color w:val="000000"/>
        </w:rPr>
        <w:t>is</w:t>
      </w:r>
      <w:r w:rsidRPr="002E0C57">
        <w:rPr>
          <w:rFonts w:cstheme="minorHAnsi"/>
          <w:color w:val="000000"/>
        </w:rPr>
        <w:t xml:space="preserve"> program actually declined in 2020, resulting in only 14.35% of their learners agreeing to a data match.   </w:t>
      </w:r>
    </w:p>
    <w:p w14:paraId="738EEF31" w14:textId="77777777" w:rsidR="00BE63AD" w:rsidRPr="002E0C57" w:rsidRDefault="00BE63AD" w:rsidP="00BE63AD">
      <w:pPr>
        <w:rPr>
          <w:rFonts w:cstheme="minorHAnsi"/>
          <w:color w:val="000000"/>
        </w:rPr>
      </w:pPr>
      <w:r w:rsidRPr="002E0C57">
        <w:rPr>
          <w:rFonts w:cstheme="minorHAnsi"/>
          <w:noProof/>
        </w:rPr>
        <w:drawing>
          <wp:anchor distT="0" distB="0" distL="114300" distR="114300" simplePos="0" relativeHeight="251657216" behindDoc="1" locked="0" layoutInCell="1" allowOverlap="1" wp14:anchorId="5962C6EC" wp14:editId="3D76226D">
            <wp:simplePos x="0" y="0"/>
            <wp:positionH relativeFrom="margin">
              <wp:align>center</wp:align>
            </wp:positionH>
            <wp:positionV relativeFrom="paragraph">
              <wp:posOffset>97790</wp:posOffset>
            </wp:positionV>
            <wp:extent cx="5509260" cy="819785"/>
            <wp:effectExtent l="0" t="0" r="0" b="0"/>
            <wp:wrapTight wrapText="bothSides">
              <wp:wrapPolygon edited="0">
                <wp:start x="10456" y="0"/>
                <wp:lineTo x="0" y="4015"/>
                <wp:lineTo x="0" y="7529"/>
                <wp:lineTo x="299" y="8031"/>
                <wp:lineTo x="149" y="20077"/>
                <wp:lineTo x="3585" y="21081"/>
                <wp:lineTo x="18598" y="21081"/>
                <wp:lineTo x="20614" y="20077"/>
                <wp:lineTo x="20614" y="17066"/>
                <wp:lineTo x="20315" y="16062"/>
                <wp:lineTo x="21510" y="12548"/>
                <wp:lineTo x="21510" y="1004"/>
                <wp:lineTo x="21137" y="0"/>
                <wp:lineTo x="18598" y="0"/>
                <wp:lineTo x="1045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926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7B17F9" w14:textId="77777777" w:rsidR="00BE63AD" w:rsidRPr="002E0C57" w:rsidRDefault="00BE63AD" w:rsidP="00BE63AD">
      <w:pPr>
        <w:rPr>
          <w:rFonts w:cstheme="minorHAnsi"/>
          <w:color w:val="000000"/>
        </w:rPr>
      </w:pPr>
    </w:p>
    <w:p w14:paraId="76B967B2" w14:textId="77777777" w:rsidR="009A69CE" w:rsidRPr="002E0C57" w:rsidRDefault="009A69CE" w:rsidP="00BE63AD">
      <w:pPr>
        <w:rPr>
          <w:rFonts w:cstheme="minorHAnsi"/>
          <w:color w:val="000000"/>
        </w:rPr>
      </w:pPr>
    </w:p>
    <w:p w14:paraId="4B2DDD4D" w14:textId="14815527" w:rsidR="00BE63AD" w:rsidRPr="002E0C57" w:rsidRDefault="00BE63AD" w:rsidP="00BE63AD">
      <w:pPr>
        <w:rPr>
          <w:rFonts w:cstheme="minorHAnsi"/>
          <w:color w:val="000000"/>
        </w:rPr>
      </w:pPr>
      <w:r w:rsidRPr="002E0C57">
        <w:rPr>
          <w:rFonts w:cstheme="minorHAnsi"/>
          <w:color w:val="000000"/>
        </w:rPr>
        <w:t xml:space="preserve">Our largest local program insists their low rate is due solely to their high percentage of English language learners and that there is no way it can be improved. However, the second largest program has similar demographics and their data match rate for 2020 is 71%.  Clearly more can be done to improve this metric. If our largest program had even a 50% data match release rate, </w:t>
      </w:r>
      <w:r w:rsidR="00103FB2" w:rsidRPr="002E0C57">
        <w:rPr>
          <w:rFonts w:cstheme="minorHAnsi"/>
          <w:color w:val="000000"/>
        </w:rPr>
        <w:t>the</w:t>
      </w:r>
      <w:r w:rsidRPr="002E0C57">
        <w:rPr>
          <w:rFonts w:cstheme="minorHAnsi"/>
          <w:color w:val="000000"/>
        </w:rPr>
        <w:t xml:space="preserve"> overall state rate would increase to over 70%. This data compels us to try and improve this metric in the coming year. Without the ability to capture the employment and postsecondary outcomes of hundreds of adult learners, Maine Adult Education will be unable to demonstrate its effectiveness to our WIOA partners, legislators, and the Maine people we serve.    </w:t>
      </w:r>
    </w:p>
    <w:p w14:paraId="09B2A0C8" w14:textId="3147FFDE" w:rsidR="008C5408" w:rsidRPr="002E0C57" w:rsidRDefault="00F56E7B" w:rsidP="009A3563">
      <w:pPr>
        <w:rPr>
          <w:rFonts w:cstheme="minorHAnsi"/>
          <w:color w:val="000000"/>
        </w:rPr>
      </w:pPr>
      <w:r w:rsidRPr="002E0C57">
        <w:rPr>
          <w:rFonts w:cstheme="minorHAnsi"/>
          <w:color w:val="000000"/>
        </w:rPr>
        <w:lastRenderedPageBreak/>
        <w:t xml:space="preserve">In addition to the next steps included in the preceding information, </w:t>
      </w:r>
      <w:r w:rsidR="00DB3A0F" w:rsidRPr="002E0C57">
        <w:rPr>
          <w:rFonts w:cstheme="minorHAnsi"/>
          <w:color w:val="000000"/>
        </w:rPr>
        <w:t xml:space="preserve">our data analysis has led to </w:t>
      </w:r>
      <w:r w:rsidR="00C83404" w:rsidRPr="002E0C57">
        <w:rPr>
          <w:rFonts w:cstheme="minorHAnsi"/>
          <w:color w:val="000000"/>
        </w:rPr>
        <w:t>plans to address</w:t>
      </w:r>
      <w:r w:rsidR="00A8398C" w:rsidRPr="002E0C57">
        <w:rPr>
          <w:rFonts w:cstheme="minorHAnsi"/>
          <w:color w:val="000000"/>
        </w:rPr>
        <w:t xml:space="preserve"> continued professional development on the delivery of all phases of student enrollment</w:t>
      </w:r>
      <w:r w:rsidR="00872230" w:rsidRPr="002E0C57">
        <w:rPr>
          <w:rFonts w:cstheme="minorHAnsi"/>
          <w:color w:val="000000"/>
        </w:rPr>
        <w:t xml:space="preserve"> and participation, </w:t>
      </w:r>
      <w:r w:rsidR="00A8398C" w:rsidRPr="002E0C57">
        <w:rPr>
          <w:rFonts w:cstheme="minorHAnsi"/>
          <w:color w:val="000000"/>
        </w:rPr>
        <w:t xml:space="preserve">including referrals, intake, </w:t>
      </w:r>
      <w:r w:rsidR="0055647A" w:rsidRPr="002E0C57">
        <w:rPr>
          <w:rFonts w:cstheme="minorHAnsi"/>
          <w:color w:val="000000"/>
        </w:rPr>
        <w:t xml:space="preserve">instruction and </w:t>
      </w:r>
      <w:r w:rsidR="00A8398C" w:rsidRPr="002E0C57">
        <w:rPr>
          <w:rFonts w:cstheme="minorHAnsi"/>
          <w:color w:val="000000"/>
        </w:rPr>
        <w:t xml:space="preserve">assessments </w:t>
      </w:r>
      <w:r w:rsidR="0055647A" w:rsidRPr="002E0C57">
        <w:rPr>
          <w:rFonts w:cstheme="minorHAnsi"/>
          <w:color w:val="000000"/>
        </w:rPr>
        <w:t xml:space="preserve">as well as implementing the HiSET at </w:t>
      </w:r>
      <w:r w:rsidR="00B40C3C" w:rsidRPr="002E0C57">
        <w:rPr>
          <w:rFonts w:cstheme="minorHAnsi"/>
          <w:color w:val="000000"/>
        </w:rPr>
        <w:t>H</w:t>
      </w:r>
      <w:r w:rsidR="0055647A" w:rsidRPr="002E0C57">
        <w:rPr>
          <w:rFonts w:cstheme="minorHAnsi"/>
          <w:color w:val="000000"/>
        </w:rPr>
        <w:t>ome</w:t>
      </w:r>
      <w:r w:rsidR="00B40C3C" w:rsidRPr="002E0C57">
        <w:rPr>
          <w:rFonts w:cstheme="minorHAnsi"/>
          <w:color w:val="000000"/>
        </w:rPr>
        <w:t xml:space="preserve"> remote</w:t>
      </w:r>
      <w:r w:rsidR="0055647A" w:rsidRPr="002E0C57">
        <w:rPr>
          <w:rFonts w:cstheme="minorHAnsi"/>
          <w:color w:val="000000"/>
        </w:rPr>
        <w:t xml:space="preserve"> testing option. </w:t>
      </w:r>
      <w:r w:rsidR="00907493" w:rsidRPr="002E0C57">
        <w:rPr>
          <w:rFonts w:cstheme="minorHAnsi"/>
          <w:color w:val="000000"/>
        </w:rPr>
        <w:t>We w</w:t>
      </w:r>
      <w:r w:rsidR="00DD34BD" w:rsidRPr="002E0C57">
        <w:rPr>
          <w:rFonts w:cstheme="minorHAnsi"/>
          <w:color w:val="000000"/>
        </w:rPr>
        <w:t>ill als</w:t>
      </w:r>
      <w:r w:rsidR="00CD7122" w:rsidRPr="002E0C57">
        <w:rPr>
          <w:rFonts w:cstheme="minorHAnsi"/>
          <w:color w:val="000000"/>
        </w:rPr>
        <w:t xml:space="preserve">o work with </w:t>
      </w:r>
      <w:r w:rsidR="00907493" w:rsidRPr="002E0C57">
        <w:rPr>
          <w:rFonts w:cstheme="minorHAnsi"/>
          <w:color w:val="000000"/>
        </w:rPr>
        <w:t xml:space="preserve">our </w:t>
      </w:r>
      <w:r w:rsidR="00CD7122" w:rsidRPr="002E0C57">
        <w:rPr>
          <w:rFonts w:cstheme="minorHAnsi"/>
          <w:color w:val="000000"/>
        </w:rPr>
        <w:t xml:space="preserve">data system provider, local providers, Maine Department of Education data director and workforce partners on </w:t>
      </w:r>
      <w:r w:rsidR="0053332B" w:rsidRPr="002E0C57">
        <w:rPr>
          <w:rFonts w:cstheme="minorHAnsi"/>
          <w:color w:val="000000"/>
        </w:rPr>
        <w:t>guidance</w:t>
      </w:r>
      <w:r w:rsidR="00CD7122" w:rsidRPr="002E0C57">
        <w:rPr>
          <w:rFonts w:cstheme="minorHAnsi"/>
          <w:color w:val="000000"/>
        </w:rPr>
        <w:t xml:space="preserve"> regarding the secure transfer of personal identifiable information, electronic signatures and </w:t>
      </w:r>
      <w:r w:rsidR="00511407" w:rsidRPr="002E0C57">
        <w:rPr>
          <w:rFonts w:cstheme="minorHAnsi"/>
          <w:color w:val="000000"/>
        </w:rPr>
        <w:t xml:space="preserve">data </w:t>
      </w:r>
      <w:r w:rsidR="00BF435E" w:rsidRPr="002E0C57">
        <w:rPr>
          <w:rFonts w:cstheme="minorHAnsi"/>
          <w:color w:val="000000"/>
        </w:rPr>
        <w:t>storage.</w:t>
      </w:r>
    </w:p>
    <w:p w14:paraId="50FCE699" w14:textId="27EA6B0E" w:rsidR="00936891" w:rsidRPr="002E0C57" w:rsidRDefault="00936891" w:rsidP="009F4532">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Integration with One-stop Partners</w:t>
      </w:r>
      <w:r w:rsidR="005F7E35" w:rsidRPr="002E0C57">
        <w:rPr>
          <w:rFonts w:asciiTheme="minorHAnsi" w:hAnsiTheme="minorHAnsi" w:cstheme="minorHAnsi"/>
          <w:b/>
          <w:bCs/>
          <w:i/>
          <w:iCs/>
        </w:rPr>
        <w:t xml:space="preserve">  </w:t>
      </w:r>
    </w:p>
    <w:p w14:paraId="2DC49923" w14:textId="6A33AB01" w:rsidR="0086369E" w:rsidRPr="002E0C57" w:rsidRDefault="0086369E" w:rsidP="0086369E">
      <w:pPr>
        <w:pStyle w:val="ListParagraph"/>
        <w:rPr>
          <w:rFonts w:asciiTheme="minorHAnsi" w:hAnsiTheme="minorHAnsi" w:cstheme="minorHAnsi"/>
          <w:b/>
          <w:bCs/>
        </w:rPr>
      </w:pPr>
    </w:p>
    <w:p w14:paraId="5B3436A7" w14:textId="13C5DEAF" w:rsidR="0086369E" w:rsidRPr="002E0C57" w:rsidRDefault="0086369E" w:rsidP="009B0F3A">
      <w:pPr>
        <w:rPr>
          <w:rFonts w:cstheme="minorHAnsi"/>
        </w:rPr>
      </w:pPr>
      <w:r w:rsidRPr="002E0C57">
        <w:rPr>
          <w:rFonts w:cstheme="minorHAnsi"/>
        </w:rPr>
        <w:t xml:space="preserve">The state delegated the </w:t>
      </w:r>
      <w:r w:rsidR="00046A47" w:rsidRPr="002E0C57">
        <w:rPr>
          <w:rFonts w:cstheme="minorHAnsi"/>
        </w:rPr>
        <w:t>role of one-stop partner to local programs. Due to the</w:t>
      </w:r>
      <w:r w:rsidR="00544942" w:rsidRPr="002E0C57">
        <w:rPr>
          <w:rFonts w:cstheme="minorHAnsi"/>
        </w:rPr>
        <w:t xml:space="preserve"> geographic</w:t>
      </w:r>
      <w:r w:rsidR="00046A47" w:rsidRPr="002E0C57">
        <w:rPr>
          <w:rFonts w:cstheme="minorHAnsi"/>
        </w:rPr>
        <w:t xml:space="preserve"> and varied </w:t>
      </w:r>
      <w:r w:rsidR="00F85DA2" w:rsidRPr="002E0C57">
        <w:rPr>
          <w:rFonts w:cstheme="minorHAnsi"/>
        </w:rPr>
        <w:t xml:space="preserve">regional </w:t>
      </w:r>
      <w:r w:rsidR="00046A47" w:rsidRPr="002E0C57">
        <w:rPr>
          <w:rFonts w:cstheme="minorHAnsi"/>
        </w:rPr>
        <w:t xml:space="preserve">economies of the state it was determined that </w:t>
      </w:r>
      <w:r w:rsidR="004F5B5A" w:rsidRPr="002E0C57">
        <w:rPr>
          <w:rFonts w:cstheme="minorHAnsi"/>
        </w:rPr>
        <w:t xml:space="preserve">the partnerships would be more productive if decisions were made at the local level. </w:t>
      </w:r>
      <w:r w:rsidR="008D4B95" w:rsidRPr="002E0C57">
        <w:rPr>
          <w:rFonts w:cstheme="minorHAnsi"/>
        </w:rPr>
        <w:t>Conversations were beginning regarding updat</w:t>
      </w:r>
      <w:r w:rsidR="00DD5E96" w:rsidRPr="002E0C57">
        <w:rPr>
          <w:rFonts w:cstheme="minorHAnsi"/>
        </w:rPr>
        <w:t xml:space="preserve">ing </w:t>
      </w:r>
      <w:r w:rsidR="008D4B95" w:rsidRPr="002E0C57">
        <w:rPr>
          <w:rFonts w:cstheme="minorHAnsi"/>
        </w:rPr>
        <w:t>MOUs and determining IFA costs</w:t>
      </w:r>
      <w:r w:rsidR="00605B76" w:rsidRPr="002E0C57">
        <w:rPr>
          <w:rFonts w:cstheme="minorHAnsi"/>
        </w:rPr>
        <w:t xml:space="preserve"> when COVID-19 hit. Those meetings</w:t>
      </w:r>
      <w:r w:rsidR="00C43C84" w:rsidRPr="002E0C57">
        <w:rPr>
          <w:rFonts w:cstheme="minorHAnsi"/>
        </w:rPr>
        <w:t xml:space="preserve"> a</w:t>
      </w:r>
      <w:r w:rsidR="00605B76" w:rsidRPr="002E0C57">
        <w:rPr>
          <w:rFonts w:cstheme="minorHAnsi"/>
        </w:rPr>
        <w:t>re to resume in the fall.</w:t>
      </w:r>
    </w:p>
    <w:p w14:paraId="0ACC085F" w14:textId="77777777" w:rsidR="009F4532" w:rsidRPr="002E0C57" w:rsidRDefault="009F4532" w:rsidP="009F4532">
      <w:pPr>
        <w:pStyle w:val="ListParagraph"/>
        <w:rPr>
          <w:rFonts w:asciiTheme="minorHAnsi" w:hAnsiTheme="minorHAnsi" w:cstheme="minorHAnsi"/>
          <w:color w:val="000000"/>
        </w:rPr>
      </w:pPr>
    </w:p>
    <w:p w14:paraId="087942B4" w14:textId="77777777" w:rsidR="003808AD" w:rsidRPr="002E0C57" w:rsidRDefault="00936891" w:rsidP="00C93EA9">
      <w:pPr>
        <w:pStyle w:val="ListParagraph"/>
        <w:numPr>
          <w:ilvl w:val="0"/>
          <w:numId w:val="8"/>
        </w:numPr>
        <w:rPr>
          <w:rFonts w:asciiTheme="minorHAnsi" w:hAnsiTheme="minorHAnsi" w:cstheme="minorHAnsi"/>
        </w:rPr>
      </w:pPr>
      <w:r w:rsidRPr="002E0C57">
        <w:rPr>
          <w:rFonts w:asciiTheme="minorHAnsi" w:hAnsiTheme="minorHAnsi" w:cstheme="minorHAnsi"/>
          <w:b/>
          <w:bCs/>
          <w:i/>
          <w:iCs/>
        </w:rPr>
        <w:t>Integrated English Literacy and Civics Education (IELCE) Program</w:t>
      </w:r>
      <w:r w:rsidR="003D2B68" w:rsidRPr="002E0C57">
        <w:rPr>
          <w:rFonts w:asciiTheme="minorHAnsi" w:hAnsiTheme="minorHAnsi" w:cstheme="minorHAnsi"/>
          <w:b/>
          <w:bCs/>
          <w:i/>
          <w:iCs/>
        </w:rPr>
        <w:t xml:space="preserve"> </w:t>
      </w:r>
    </w:p>
    <w:p w14:paraId="172DFCAE" w14:textId="77777777" w:rsidR="00773960" w:rsidRPr="002E0C57" w:rsidRDefault="00773960" w:rsidP="003808AD">
      <w:pPr>
        <w:rPr>
          <w:rFonts w:cstheme="minorHAnsi"/>
        </w:rPr>
      </w:pPr>
    </w:p>
    <w:p w14:paraId="2277B993" w14:textId="77777777" w:rsidR="00810EE1" w:rsidRPr="002E0C57" w:rsidRDefault="001E0848" w:rsidP="00810EE1">
      <w:pPr>
        <w:rPr>
          <w:rFonts w:cstheme="minorHAnsi"/>
        </w:rPr>
      </w:pPr>
      <w:r w:rsidRPr="002E0C57">
        <w:rPr>
          <w:rFonts w:cstheme="minorHAnsi"/>
        </w:rPr>
        <w:t>Maine competed for IELCE funds in February 2019. Two local programs applied and were funded. The initial grant period is for 2 years with two additional 2-year extensions</w:t>
      </w:r>
      <w:r w:rsidRPr="002E0C57">
        <w:rPr>
          <w:rFonts w:cstheme="minorHAnsi"/>
          <w:b/>
          <w:bCs/>
        </w:rPr>
        <w:t>.</w:t>
      </w:r>
      <w:r w:rsidR="00810EE1" w:rsidRPr="002E0C57">
        <w:rPr>
          <w:rFonts w:cstheme="minorHAnsi"/>
          <w:b/>
          <w:bCs/>
        </w:rPr>
        <w:t xml:space="preserve"> </w:t>
      </w:r>
      <w:r w:rsidR="00AC4CE1" w:rsidRPr="002E0C57">
        <w:rPr>
          <w:rFonts w:cstheme="minorHAnsi"/>
        </w:rPr>
        <w:t>In the RFP, programs were asked to develop at least one IELCE IET</w:t>
      </w:r>
      <w:r w:rsidR="00DE172F" w:rsidRPr="002E0C57">
        <w:rPr>
          <w:rFonts w:cstheme="minorHAnsi"/>
        </w:rPr>
        <w:t>.</w:t>
      </w:r>
      <w:r w:rsidR="00AC4CE1" w:rsidRPr="002E0C57">
        <w:rPr>
          <w:rFonts w:cstheme="minorHAnsi"/>
        </w:rPr>
        <w:t xml:space="preserve"> </w:t>
      </w:r>
    </w:p>
    <w:p w14:paraId="3ECCEFD9" w14:textId="52992DA9" w:rsidR="00EC1B91" w:rsidRPr="002E0C57" w:rsidRDefault="00810EE1" w:rsidP="00EC1B91">
      <w:pPr>
        <w:rPr>
          <w:rFonts w:ascii="CIDFont+F1" w:hAnsi="CIDFont+F1"/>
        </w:rPr>
      </w:pPr>
      <w:r w:rsidRPr="002E0C57">
        <w:rPr>
          <w:rFonts w:cstheme="minorHAnsi"/>
        </w:rPr>
        <w:t>Classroo</w:t>
      </w:r>
      <w:r w:rsidR="003D16CC" w:rsidRPr="002E0C57">
        <w:rPr>
          <w:rFonts w:cstheme="minorHAnsi"/>
        </w:rPr>
        <w:t xml:space="preserve">ms are serving </w:t>
      </w:r>
      <w:r w:rsidRPr="002E0C57">
        <w:rPr>
          <w:rFonts w:cstheme="minorHAnsi"/>
        </w:rPr>
        <w:t>microcosm</w:t>
      </w:r>
      <w:r w:rsidR="003D16CC" w:rsidRPr="002E0C57">
        <w:rPr>
          <w:rFonts w:cstheme="minorHAnsi"/>
        </w:rPr>
        <w:t>s</w:t>
      </w:r>
      <w:r w:rsidRPr="002E0C57">
        <w:rPr>
          <w:rFonts w:cstheme="minorHAnsi"/>
        </w:rPr>
        <w:t xml:space="preserve"> of </w:t>
      </w:r>
      <w:r w:rsidR="003D16CC" w:rsidRPr="002E0C57">
        <w:rPr>
          <w:rFonts w:cstheme="minorHAnsi"/>
        </w:rPr>
        <w:t>the</w:t>
      </w:r>
      <w:r w:rsidRPr="002E0C57">
        <w:rPr>
          <w:rFonts w:cstheme="minorHAnsi"/>
        </w:rPr>
        <w:t xml:space="preserve"> community. Classroom expectations and processes reflect those that are expected in </w:t>
      </w:r>
      <w:r w:rsidR="003D16CC" w:rsidRPr="002E0C57">
        <w:rPr>
          <w:rFonts w:cstheme="minorHAnsi"/>
        </w:rPr>
        <w:t>the</w:t>
      </w:r>
      <w:r w:rsidRPr="002E0C57">
        <w:rPr>
          <w:rFonts w:cstheme="minorHAnsi"/>
        </w:rPr>
        <w:t xml:space="preserve"> community and at work, with an emphasis on habits of success: punctuality, active participation, respect, a democratic norms process, and classroom job assignments that alternate weekly.</w:t>
      </w:r>
      <w:r w:rsidR="00842B8C" w:rsidRPr="002E0C57">
        <w:rPr>
          <w:rFonts w:cstheme="minorHAnsi"/>
          <w:b/>
          <w:bCs/>
        </w:rPr>
        <w:t xml:space="preserve"> </w:t>
      </w:r>
      <w:r w:rsidRPr="002E0C57">
        <w:rPr>
          <w:rFonts w:cstheme="minorHAnsi"/>
        </w:rPr>
        <w:t xml:space="preserve">All students participate in career pathways exploration activities through which they begin to see the connection between education and work. </w:t>
      </w:r>
      <w:r w:rsidR="00BB788E" w:rsidRPr="002E0C57">
        <w:rPr>
          <w:rFonts w:cstheme="minorHAnsi"/>
        </w:rPr>
        <w:t xml:space="preserve">Funded programs are to ensure that </w:t>
      </w:r>
      <w:r w:rsidR="00FD755D" w:rsidRPr="002E0C57">
        <w:rPr>
          <w:rFonts w:cstheme="minorHAnsi"/>
        </w:rPr>
        <w:t>integration of academics, civics and employability skills and career planning</w:t>
      </w:r>
      <w:r w:rsidR="006B1B3E" w:rsidRPr="002E0C57">
        <w:rPr>
          <w:rFonts w:cstheme="minorHAnsi"/>
        </w:rPr>
        <w:t xml:space="preserve"> takes place. With </w:t>
      </w:r>
      <w:r w:rsidR="0097034C" w:rsidRPr="002E0C57">
        <w:rPr>
          <w:rFonts w:cstheme="minorHAnsi"/>
        </w:rPr>
        <w:t>employers and industry sector involvement, e</w:t>
      </w:r>
      <w:r w:rsidR="006B1B3E" w:rsidRPr="002E0C57">
        <w:rPr>
          <w:rFonts w:cstheme="minorHAnsi"/>
        </w:rPr>
        <w:t xml:space="preserve">ach funded </w:t>
      </w:r>
      <w:r w:rsidR="0097034C" w:rsidRPr="002E0C57">
        <w:rPr>
          <w:rFonts w:cstheme="minorHAnsi"/>
        </w:rPr>
        <w:t>provider</w:t>
      </w:r>
      <w:r w:rsidR="006B1B3E" w:rsidRPr="002E0C57">
        <w:rPr>
          <w:rFonts w:cstheme="minorHAnsi"/>
        </w:rPr>
        <w:t xml:space="preserve"> developed more than one IET </w:t>
      </w:r>
      <w:r w:rsidR="00665DA0" w:rsidRPr="002E0C57">
        <w:rPr>
          <w:rFonts w:cstheme="minorHAnsi"/>
        </w:rPr>
        <w:t>resulting in an industry recognized credential</w:t>
      </w:r>
      <w:r w:rsidR="00CF04CA" w:rsidRPr="002E0C57">
        <w:rPr>
          <w:rFonts w:cstheme="minorHAnsi"/>
        </w:rPr>
        <w:t>s</w:t>
      </w:r>
      <w:r w:rsidR="00665DA0" w:rsidRPr="002E0C57">
        <w:rPr>
          <w:rFonts w:cstheme="minorHAnsi"/>
        </w:rPr>
        <w:t xml:space="preserve"> </w:t>
      </w:r>
      <w:r w:rsidR="006B1B3E" w:rsidRPr="002E0C57">
        <w:rPr>
          <w:rFonts w:cstheme="minorHAnsi"/>
        </w:rPr>
        <w:t>(ELL CNA</w:t>
      </w:r>
      <w:r w:rsidR="0097034C" w:rsidRPr="002E0C57">
        <w:rPr>
          <w:rFonts w:cstheme="minorHAnsi"/>
        </w:rPr>
        <w:t xml:space="preserve">, </w:t>
      </w:r>
      <w:r w:rsidR="00665DA0" w:rsidRPr="002E0C57">
        <w:rPr>
          <w:rFonts w:cstheme="minorHAnsi"/>
        </w:rPr>
        <w:t>ELL Teller Program, WelcomeME,</w:t>
      </w:r>
      <w:r w:rsidR="00E373EB" w:rsidRPr="002E0C57">
        <w:rPr>
          <w:rFonts w:cstheme="minorHAnsi"/>
        </w:rPr>
        <w:t xml:space="preserve"> IT Industry, </w:t>
      </w:r>
      <w:r w:rsidR="000541DC" w:rsidRPr="002E0C57">
        <w:rPr>
          <w:rFonts w:cstheme="minorHAnsi"/>
        </w:rPr>
        <w:t xml:space="preserve">NCCER certificate as introduction to </w:t>
      </w:r>
      <w:r w:rsidR="00995F71" w:rsidRPr="002E0C57">
        <w:rPr>
          <w:rFonts w:cstheme="minorHAnsi"/>
        </w:rPr>
        <w:t>Construction</w:t>
      </w:r>
      <w:r w:rsidR="000541DC" w:rsidRPr="002E0C57">
        <w:rPr>
          <w:rFonts w:cstheme="minorHAnsi"/>
        </w:rPr>
        <w:t xml:space="preserve"> programs, </w:t>
      </w:r>
      <w:r w:rsidR="009164A3" w:rsidRPr="002E0C57">
        <w:rPr>
          <w:rFonts w:cstheme="minorHAnsi"/>
        </w:rPr>
        <w:t>and Educator Academy)</w:t>
      </w:r>
      <w:r w:rsidR="00F92ED9" w:rsidRPr="002E0C57">
        <w:rPr>
          <w:rFonts w:cstheme="minorHAnsi"/>
        </w:rPr>
        <w:t xml:space="preserve"> entering employment</w:t>
      </w:r>
      <w:r w:rsidR="009164A3" w:rsidRPr="002E0C57">
        <w:rPr>
          <w:rFonts w:cstheme="minorHAnsi"/>
        </w:rPr>
        <w:t>.</w:t>
      </w:r>
    </w:p>
    <w:p w14:paraId="6CE4A7FE" w14:textId="15662BAF" w:rsidR="00F46C02" w:rsidRPr="002E0C57" w:rsidRDefault="009C79C5" w:rsidP="001E21C4">
      <w:pPr>
        <w:rPr>
          <w:rFonts w:cstheme="minorHAnsi"/>
        </w:rPr>
      </w:pPr>
      <w:r w:rsidRPr="002E0C57">
        <w:rPr>
          <w:rFonts w:cstheme="minorHAnsi"/>
        </w:rPr>
        <w:t>Of the</w:t>
      </w:r>
      <w:r w:rsidR="00EE0717" w:rsidRPr="002E0C57">
        <w:rPr>
          <w:rFonts w:cstheme="minorHAnsi"/>
        </w:rPr>
        <w:t xml:space="preserve"> </w:t>
      </w:r>
      <w:r w:rsidR="00475964" w:rsidRPr="002E0C57">
        <w:rPr>
          <w:rFonts w:cstheme="minorHAnsi"/>
        </w:rPr>
        <w:t>144</w:t>
      </w:r>
      <w:r w:rsidR="0061055B" w:rsidRPr="002E0C57">
        <w:rPr>
          <w:rFonts w:cstheme="minorHAnsi"/>
        </w:rPr>
        <w:t xml:space="preserve"> learners</w:t>
      </w:r>
      <w:r w:rsidR="00475964" w:rsidRPr="002E0C57">
        <w:rPr>
          <w:rFonts w:cstheme="minorHAnsi"/>
        </w:rPr>
        <w:t xml:space="preserve"> enrolled</w:t>
      </w:r>
      <w:r w:rsidR="0061055B" w:rsidRPr="002E0C57">
        <w:rPr>
          <w:rFonts w:cstheme="minorHAnsi"/>
        </w:rPr>
        <w:t xml:space="preserve"> in the IELCE IET</w:t>
      </w:r>
      <w:r w:rsidR="00475964" w:rsidRPr="002E0C57">
        <w:rPr>
          <w:rFonts w:cstheme="minorHAnsi"/>
        </w:rPr>
        <w:t xml:space="preserve">s by the funded </w:t>
      </w:r>
      <w:r w:rsidR="00E03265" w:rsidRPr="002E0C57">
        <w:rPr>
          <w:rFonts w:cstheme="minorHAnsi"/>
        </w:rPr>
        <w:t xml:space="preserve">providers, </w:t>
      </w:r>
      <w:r w:rsidR="00D40ACF" w:rsidRPr="002E0C57">
        <w:rPr>
          <w:rFonts w:cstheme="minorHAnsi"/>
        </w:rPr>
        <w:t xml:space="preserve">70 completed and 35 entered employment. One of the providers </w:t>
      </w:r>
      <w:r w:rsidR="00466561" w:rsidRPr="002E0C57">
        <w:rPr>
          <w:rFonts w:cstheme="minorHAnsi"/>
        </w:rPr>
        <w:t xml:space="preserve">was in an area harder hit by COVID-19 and </w:t>
      </w:r>
      <w:r w:rsidR="009464A0" w:rsidRPr="002E0C57">
        <w:rPr>
          <w:rFonts w:cstheme="minorHAnsi"/>
        </w:rPr>
        <w:t xml:space="preserve">learners had more barriers transitioning to a remote format and employment opportunities were far fewer. This program spent </w:t>
      </w:r>
      <w:r w:rsidR="00FD629B" w:rsidRPr="002E0C57">
        <w:rPr>
          <w:rFonts w:cstheme="minorHAnsi"/>
        </w:rPr>
        <w:t>substantial funds and other resources addressing the basic emotional and poverty-based needs of the learners.</w:t>
      </w:r>
    </w:p>
    <w:p w14:paraId="7425900C" w14:textId="6014228E" w:rsidR="00773960" w:rsidRPr="002E0C57" w:rsidRDefault="005544DA" w:rsidP="00773960">
      <w:pPr>
        <w:pStyle w:val="ListParagraph"/>
        <w:numPr>
          <w:ilvl w:val="0"/>
          <w:numId w:val="8"/>
        </w:numPr>
        <w:rPr>
          <w:rFonts w:asciiTheme="minorHAnsi" w:hAnsiTheme="minorHAnsi" w:cstheme="minorHAnsi"/>
          <w:b/>
          <w:bCs/>
          <w:i/>
          <w:iCs/>
        </w:rPr>
      </w:pPr>
      <w:r w:rsidRPr="002E0C57">
        <w:rPr>
          <w:rFonts w:asciiTheme="minorHAnsi" w:hAnsiTheme="minorHAnsi" w:cstheme="minorHAnsi"/>
          <w:b/>
          <w:bCs/>
          <w:i/>
          <w:iCs/>
        </w:rPr>
        <w:t>AE Standards</w:t>
      </w:r>
    </w:p>
    <w:p w14:paraId="688A5074" w14:textId="77777777" w:rsidR="00773960" w:rsidRPr="002E0C57" w:rsidRDefault="00773960" w:rsidP="00773960">
      <w:pPr>
        <w:rPr>
          <w:rFonts w:cstheme="minorHAnsi"/>
        </w:rPr>
      </w:pPr>
    </w:p>
    <w:p w14:paraId="08FC013E" w14:textId="505BB061" w:rsidR="00920097" w:rsidRPr="002E0C57" w:rsidRDefault="00920097" w:rsidP="00773960">
      <w:pPr>
        <w:rPr>
          <w:rFonts w:cstheme="minorHAnsi"/>
          <w:b/>
          <w:bCs/>
          <w:i/>
          <w:iCs/>
        </w:rPr>
      </w:pPr>
      <w:r w:rsidRPr="002E0C57">
        <w:rPr>
          <w:rFonts w:cstheme="minorHAnsi"/>
        </w:rPr>
        <w:t xml:space="preserve">Maine adopted the College and Career Readiness Standards for Adult Education in 2014 and continues to provide professional development and technical assistance to local practitioners in effectively implementing the CCR Standards. The State Office contracts with an ELA lead trainer to facilitate the Standards-in-Action Phase 1, 2, and 3 trainings, and the State Professional Development Coordinator </w:t>
      </w:r>
      <w:r w:rsidRPr="002E0C57">
        <w:rPr>
          <w:rFonts w:cstheme="minorHAnsi"/>
        </w:rPr>
        <w:lastRenderedPageBreak/>
        <w:t>facilitates the mathematics trainings. In FY</w:t>
      </w:r>
      <w:r w:rsidR="00F33AB9" w:rsidRPr="002E0C57">
        <w:rPr>
          <w:rFonts w:cstheme="minorHAnsi"/>
        </w:rPr>
        <w:t xml:space="preserve">20 we launched a redesign of the mathematics CCRS trainings as </w:t>
      </w:r>
      <w:r w:rsidR="001430B6" w:rsidRPr="002E0C57">
        <w:rPr>
          <w:rFonts w:cstheme="minorHAnsi"/>
        </w:rPr>
        <w:t>on-demand</w:t>
      </w:r>
      <w:r w:rsidR="00612DC9" w:rsidRPr="002E0C57">
        <w:rPr>
          <w:rFonts w:cstheme="minorHAnsi"/>
        </w:rPr>
        <w:t xml:space="preserve"> and short facilitated courses. This followed the ELA revisions in FY19. The statewide Professional Development Advisory Committee</w:t>
      </w:r>
      <w:r w:rsidR="000C00CC" w:rsidRPr="002E0C57">
        <w:rPr>
          <w:rFonts w:cstheme="minorHAnsi"/>
        </w:rPr>
        <w:t xml:space="preserve"> </w:t>
      </w:r>
      <w:r w:rsidR="00612DC9" w:rsidRPr="002E0C57">
        <w:rPr>
          <w:rFonts w:cstheme="minorHAnsi"/>
        </w:rPr>
        <w:t>recommended that the State Office</w:t>
      </w:r>
      <w:r w:rsidR="000C00CC" w:rsidRPr="002E0C57">
        <w:rPr>
          <w:rFonts w:cstheme="minorHAnsi"/>
        </w:rPr>
        <w:t xml:space="preserve"> explore </w:t>
      </w:r>
      <w:r w:rsidR="006E3C42" w:rsidRPr="002E0C57">
        <w:rPr>
          <w:rFonts w:cstheme="minorHAnsi"/>
        </w:rPr>
        <w:t>next steps</w:t>
      </w:r>
      <w:r w:rsidR="00432840" w:rsidRPr="002E0C57">
        <w:rPr>
          <w:rFonts w:cstheme="minorHAnsi"/>
        </w:rPr>
        <w:t xml:space="preserve"> for </w:t>
      </w:r>
      <w:r w:rsidR="000955A8" w:rsidRPr="002E0C57">
        <w:rPr>
          <w:rFonts w:cstheme="minorHAnsi"/>
        </w:rPr>
        <w:t xml:space="preserve">supporting the field with </w:t>
      </w:r>
      <w:r w:rsidR="00242022" w:rsidRPr="002E0C57">
        <w:rPr>
          <w:rFonts w:cstheme="minorHAnsi"/>
        </w:rPr>
        <w:t>integrating the CCRS into instruction</w:t>
      </w:r>
      <w:r w:rsidR="000955A8" w:rsidRPr="002E0C57">
        <w:rPr>
          <w:rFonts w:cstheme="minorHAnsi"/>
        </w:rPr>
        <w:t xml:space="preserve"> meaningfully. </w:t>
      </w:r>
      <w:r w:rsidR="00C2097B" w:rsidRPr="002E0C57">
        <w:rPr>
          <w:rFonts w:cstheme="minorHAnsi"/>
        </w:rPr>
        <w:t xml:space="preserve">Training was also provided in PY19 on the English Language Proficiency Standards. </w:t>
      </w:r>
      <w:r w:rsidR="00574B05" w:rsidRPr="002E0C57">
        <w:rPr>
          <w:rFonts w:cstheme="minorHAnsi"/>
        </w:rPr>
        <w:t>We continue to explore how to evaluate the local providers’ implementation of standards.</w:t>
      </w:r>
    </w:p>
    <w:p w14:paraId="2089B88C" w14:textId="176A7932" w:rsidR="00FC6D3D" w:rsidRPr="002E0C57" w:rsidRDefault="00FC6D3D" w:rsidP="00920097">
      <w:pPr>
        <w:rPr>
          <w:rFonts w:cstheme="minorHAnsi"/>
          <w:b/>
          <w:bCs/>
          <w:i/>
          <w:iCs/>
        </w:rPr>
      </w:pPr>
      <w:r w:rsidRPr="002E0C57">
        <w:rPr>
          <w:rFonts w:cstheme="minorHAnsi"/>
          <w:b/>
          <w:bCs/>
          <w:i/>
          <w:iCs/>
        </w:rPr>
        <w:t>6. Programs for Correction and the Education of Other Institutionalized Individuals</w:t>
      </w:r>
    </w:p>
    <w:p w14:paraId="11EB574C" w14:textId="112C2B51" w:rsidR="00CB13A3" w:rsidRPr="002E0C57" w:rsidRDefault="00CB13A3" w:rsidP="00CB13A3">
      <w:pPr>
        <w:rPr>
          <w:rFonts w:cstheme="minorHAnsi"/>
        </w:rPr>
      </w:pPr>
      <w:r w:rsidRPr="002E0C57">
        <w:rPr>
          <w:rFonts w:cstheme="minorHAnsi"/>
        </w:rPr>
        <w:t xml:space="preserve">Learners receiving adult education services are tracked in the MDOC data system (CORIS) for participation and return to custody should that happen.  Of those who successfully completed adult education programming in 2018, the return to custody rate in the first year was 8.3%. The chart below indicates the return to custody rate for the past three years. </w:t>
      </w:r>
    </w:p>
    <w:p w14:paraId="0C80B84F" w14:textId="77777777" w:rsidR="00CB13A3" w:rsidRPr="002E0C57" w:rsidRDefault="00CB13A3" w:rsidP="00CB13A3">
      <w:pPr>
        <w:rPr>
          <w:rFonts w:cstheme="minorHAnsi"/>
        </w:rPr>
      </w:pPr>
      <w:r w:rsidRPr="002E0C57">
        <w:rPr>
          <w:rFonts w:cstheme="minorHAnsi"/>
          <w:noProof/>
        </w:rPr>
        <w:drawing>
          <wp:anchor distT="0" distB="0" distL="114300" distR="114300" simplePos="0" relativeHeight="251669504" behindDoc="1" locked="0" layoutInCell="1" allowOverlap="1" wp14:anchorId="6A3EB037" wp14:editId="01FB1C21">
            <wp:simplePos x="0" y="0"/>
            <wp:positionH relativeFrom="column">
              <wp:posOffset>1019175</wp:posOffset>
            </wp:positionH>
            <wp:positionV relativeFrom="paragraph">
              <wp:posOffset>62865</wp:posOffset>
            </wp:positionV>
            <wp:extent cx="3905250" cy="902970"/>
            <wp:effectExtent l="0" t="0" r="0" b="0"/>
            <wp:wrapTight wrapText="bothSides">
              <wp:wrapPolygon edited="0">
                <wp:start x="316" y="0"/>
                <wp:lineTo x="0" y="8203"/>
                <wp:lineTo x="0" y="15494"/>
                <wp:lineTo x="948" y="16861"/>
                <wp:lineTo x="948" y="19595"/>
                <wp:lineTo x="9167" y="20962"/>
                <wp:lineTo x="21495" y="20962"/>
                <wp:lineTo x="21495" y="8203"/>
                <wp:lineTo x="21284" y="1367"/>
                <wp:lineTo x="20968" y="0"/>
                <wp:lineTo x="3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5250"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2B5CEE" w14:textId="77777777" w:rsidR="00CB13A3" w:rsidRPr="002E0C57" w:rsidRDefault="00CB13A3" w:rsidP="00CB13A3">
      <w:pPr>
        <w:rPr>
          <w:rFonts w:cstheme="minorHAnsi"/>
        </w:rPr>
      </w:pPr>
    </w:p>
    <w:p w14:paraId="3798F313" w14:textId="77777777" w:rsidR="00CB13A3" w:rsidRPr="002E0C57" w:rsidRDefault="00CB13A3" w:rsidP="00CB13A3">
      <w:pPr>
        <w:rPr>
          <w:rFonts w:cstheme="minorHAnsi"/>
        </w:rPr>
      </w:pPr>
    </w:p>
    <w:p w14:paraId="01B1E6DD" w14:textId="77777777" w:rsidR="00CB13A3" w:rsidRPr="002E0C57" w:rsidRDefault="00CB13A3" w:rsidP="00CB13A3">
      <w:pPr>
        <w:rPr>
          <w:rFonts w:cstheme="minorHAnsi"/>
        </w:rPr>
      </w:pPr>
    </w:p>
    <w:p w14:paraId="20F2604A" w14:textId="77777777" w:rsidR="00CB13A3" w:rsidRPr="002E0C57" w:rsidRDefault="00CB13A3" w:rsidP="00CB13A3">
      <w:pPr>
        <w:rPr>
          <w:rFonts w:cstheme="minorHAnsi"/>
        </w:rPr>
      </w:pPr>
    </w:p>
    <w:p w14:paraId="0D64AC9D" w14:textId="77777777" w:rsidR="00CB13A3" w:rsidRPr="002E0C57" w:rsidRDefault="00CB13A3" w:rsidP="00CB13A3">
      <w:pPr>
        <w:rPr>
          <w:rFonts w:cstheme="minorHAnsi"/>
        </w:rPr>
      </w:pPr>
    </w:p>
    <w:p w14:paraId="3C450C90" w14:textId="77777777" w:rsidR="0081021E" w:rsidRPr="002E0C57" w:rsidRDefault="0081021E" w:rsidP="003F1B9A">
      <w:pPr>
        <w:rPr>
          <w:rFonts w:cstheme="minorHAnsi"/>
        </w:rPr>
      </w:pPr>
    </w:p>
    <w:sectPr w:rsidR="0081021E" w:rsidRPr="002E0C5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12065" w14:textId="77777777" w:rsidR="003F639E" w:rsidRDefault="003F639E" w:rsidP="00C51F50">
      <w:pPr>
        <w:spacing w:after="0" w:line="240" w:lineRule="auto"/>
      </w:pPr>
      <w:r>
        <w:separator/>
      </w:r>
    </w:p>
  </w:endnote>
  <w:endnote w:type="continuationSeparator" w:id="0">
    <w:p w14:paraId="24E5D4AD" w14:textId="77777777" w:rsidR="003F639E" w:rsidRDefault="003F639E" w:rsidP="00C51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81820"/>
      <w:docPartObj>
        <w:docPartGallery w:val="Page Numbers (Bottom of Page)"/>
        <w:docPartUnique/>
      </w:docPartObj>
    </w:sdtPr>
    <w:sdtEndPr>
      <w:rPr>
        <w:noProof/>
      </w:rPr>
    </w:sdtEndPr>
    <w:sdtContent>
      <w:p w14:paraId="1615E194" w14:textId="05A591D5" w:rsidR="00C51F50" w:rsidRDefault="00C51F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E91B18" w14:textId="77777777" w:rsidR="00C51F50" w:rsidRDefault="00C51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8B10E" w14:textId="77777777" w:rsidR="003F639E" w:rsidRDefault="003F639E" w:rsidP="00C51F50">
      <w:pPr>
        <w:spacing w:after="0" w:line="240" w:lineRule="auto"/>
      </w:pPr>
      <w:r>
        <w:separator/>
      </w:r>
    </w:p>
  </w:footnote>
  <w:footnote w:type="continuationSeparator" w:id="0">
    <w:p w14:paraId="3177B452" w14:textId="77777777" w:rsidR="003F639E" w:rsidRDefault="003F639E" w:rsidP="00C51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5422"/>
    <w:multiLevelType w:val="hybridMultilevel"/>
    <w:tmpl w:val="DCA8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E0DE2"/>
    <w:multiLevelType w:val="hybridMultilevel"/>
    <w:tmpl w:val="B2444680"/>
    <w:lvl w:ilvl="0" w:tplc="96DCE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34EE"/>
    <w:multiLevelType w:val="hybridMultilevel"/>
    <w:tmpl w:val="479E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3407E"/>
    <w:multiLevelType w:val="hybridMultilevel"/>
    <w:tmpl w:val="063EB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5679F"/>
    <w:multiLevelType w:val="hybridMultilevel"/>
    <w:tmpl w:val="49EAF538"/>
    <w:lvl w:ilvl="0" w:tplc="960480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9607A"/>
    <w:multiLevelType w:val="hybridMultilevel"/>
    <w:tmpl w:val="1EC4AD10"/>
    <w:lvl w:ilvl="0" w:tplc="7E760766">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8C477E2"/>
    <w:multiLevelType w:val="hybridMultilevel"/>
    <w:tmpl w:val="346C7B36"/>
    <w:lvl w:ilvl="0" w:tplc="0DA266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BC35AD"/>
    <w:multiLevelType w:val="hybridMultilevel"/>
    <w:tmpl w:val="46023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DA"/>
    <w:rsid w:val="0000054F"/>
    <w:rsid w:val="00000E16"/>
    <w:rsid w:val="00001D23"/>
    <w:rsid w:val="000116FF"/>
    <w:rsid w:val="00016C2F"/>
    <w:rsid w:val="000207E0"/>
    <w:rsid w:val="00024A72"/>
    <w:rsid w:val="0003051E"/>
    <w:rsid w:val="00030803"/>
    <w:rsid w:val="00034248"/>
    <w:rsid w:val="000361B8"/>
    <w:rsid w:val="00046A47"/>
    <w:rsid w:val="00051C31"/>
    <w:rsid w:val="0005208F"/>
    <w:rsid w:val="000541DC"/>
    <w:rsid w:val="00066DBA"/>
    <w:rsid w:val="0007168C"/>
    <w:rsid w:val="00074819"/>
    <w:rsid w:val="00084827"/>
    <w:rsid w:val="00090FBB"/>
    <w:rsid w:val="00091996"/>
    <w:rsid w:val="00093C22"/>
    <w:rsid w:val="00094AA2"/>
    <w:rsid w:val="000955A8"/>
    <w:rsid w:val="000B56C4"/>
    <w:rsid w:val="000C00CC"/>
    <w:rsid w:val="000C0C64"/>
    <w:rsid w:val="000C67F3"/>
    <w:rsid w:val="000C7AAD"/>
    <w:rsid w:val="000D4699"/>
    <w:rsid w:val="000E7723"/>
    <w:rsid w:val="000E788F"/>
    <w:rsid w:val="000F3257"/>
    <w:rsid w:val="000F3D58"/>
    <w:rsid w:val="000F4362"/>
    <w:rsid w:val="00100CC5"/>
    <w:rsid w:val="00103FB2"/>
    <w:rsid w:val="00107545"/>
    <w:rsid w:val="00107E4B"/>
    <w:rsid w:val="00111E79"/>
    <w:rsid w:val="00126B73"/>
    <w:rsid w:val="001341B7"/>
    <w:rsid w:val="00134968"/>
    <w:rsid w:val="001349A8"/>
    <w:rsid w:val="00135140"/>
    <w:rsid w:val="00140911"/>
    <w:rsid w:val="00140CE8"/>
    <w:rsid w:val="00142533"/>
    <w:rsid w:val="001430B6"/>
    <w:rsid w:val="001509D7"/>
    <w:rsid w:val="001513A2"/>
    <w:rsid w:val="001515D0"/>
    <w:rsid w:val="00152C2B"/>
    <w:rsid w:val="00153F87"/>
    <w:rsid w:val="00162427"/>
    <w:rsid w:val="00164180"/>
    <w:rsid w:val="00164F14"/>
    <w:rsid w:val="00165894"/>
    <w:rsid w:val="001673C3"/>
    <w:rsid w:val="00174571"/>
    <w:rsid w:val="00175829"/>
    <w:rsid w:val="00175B11"/>
    <w:rsid w:val="00177712"/>
    <w:rsid w:val="00177A93"/>
    <w:rsid w:val="001829E2"/>
    <w:rsid w:val="0018536F"/>
    <w:rsid w:val="00192552"/>
    <w:rsid w:val="001967F1"/>
    <w:rsid w:val="001B4788"/>
    <w:rsid w:val="001B48C2"/>
    <w:rsid w:val="001C2368"/>
    <w:rsid w:val="001C7D73"/>
    <w:rsid w:val="001D344E"/>
    <w:rsid w:val="001D4EC7"/>
    <w:rsid w:val="001D572D"/>
    <w:rsid w:val="001E0848"/>
    <w:rsid w:val="001E21C4"/>
    <w:rsid w:val="001E266E"/>
    <w:rsid w:val="001E3495"/>
    <w:rsid w:val="001F13E5"/>
    <w:rsid w:val="001F1D29"/>
    <w:rsid w:val="00211109"/>
    <w:rsid w:val="00220BBF"/>
    <w:rsid w:val="00220FA3"/>
    <w:rsid w:val="00232567"/>
    <w:rsid w:val="00242022"/>
    <w:rsid w:val="00245FDE"/>
    <w:rsid w:val="00255906"/>
    <w:rsid w:val="0026057D"/>
    <w:rsid w:val="00262478"/>
    <w:rsid w:val="00262529"/>
    <w:rsid w:val="002642D7"/>
    <w:rsid w:val="002809BC"/>
    <w:rsid w:val="00283351"/>
    <w:rsid w:val="00283FF8"/>
    <w:rsid w:val="00284DAD"/>
    <w:rsid w:val="00294733"/>
    <w:rsid w:val="00295EB8"/>
    <w:rsid w:val="002969AC"/>
    <w:rsid w:val="002A0502"/>
    <w:rsid w:val="002A0816"/>
    <w:rsid w:val="002A19EB"/>
    <w:rsid w:val="002B3870"/>
    <w:rsid w:val="002B54C6"/>
    <w:rsid w:val="002C32E2"/>
    <w:rsid w:val="002D4328"/>
    <w:rsid w:val="002E0C57"/>
    <w:rsid w:val="002E21D4"/>
    <w:rsid w:val="002E226C"/>
    <w:rsid w:val="002E4338"/>
    <w:rsid w:val="002E6372"/>
    <w:rsid w:val="002E6854"/>
    <w:rsid w:val="00305E0F"/>
    <w:rsid w:val="00305EB3"/>
    <w:rsid w:val="00310321"/>
    <w:rsid w:val="003162C2"/>
    <w:rsid w:val="00316B0A"/>
    <w:rsid w:val="00323924"/>
    <w:rsid w:val="003248C9"/>
    <w:rsid w:val="003334CD"/>
    <w:rsid w:val="00333DD7"/>
    <w:rsid w:val="003345A3"/>
    <w:rsid w:val="00334CBF"/>
    <w:rsid w:val="00334FEE"/>
    <w:rsid w:val="00342EAF"/>
    <w:rsid w:val="00345C8C"/>
    <w:rsid w:val="003477DD"/>
    <w:rsid w:val="00350043"/>
    <w:rsid w:val="00357A75"/>
    <w:rsid w:val="00364922"/>
    <w:rsid w:val="00366E6C"/>
    <w:rsid w:val="0036746D"/>
    <w:rsid w:val="00370A39"/>
    <w:rsid w:val="00370FEF"/>
    <w:rsid w:val="00373C27"/>
    <w:rsid w:val="00375445"/>
    <w:rsid w:val="003776C6"/>
    <w:rsid w:val="00380686"/>
    <w:rsid w:val="003808AD"/>
    <w:rsid w:val="00380F5F"/>
    <w:rsid w:val="00382D7E"/>
    <w:rsid w:val="00395B6D"/>
    <w:rsid w:val="003A47D4"/>
    <w:rsid w:val="003A54A3"/>
    <w:rsid w:val="003A787E"/>
    <w:rsid w:val="003B665A"/>
    <w:rsid w:val="003C5E77"/>
    <w:rsid w:val="003C6008"/>
    <w:rsid w:val="003C634C"/>
    <w:rsid w:val="003D16CC"/>
    <w:rsid w:val="003D2B68"/>
    <w:rsid w:val="003D4125"/>
    <w:rsid w:val="003D57CD"/>
    <w:rsid w:val="003D64CC"/>
    <w:rsid w:val="003E1872"/>
    <w:rsid w:val="003E448A"/>
    <w:rsid w:val="003F09A4"/>
    <w:rsid w:val="003F1B9A"/>
    <w:rsid w:val="003F239F"/>
    <w:rsid w:val="003F6140"/>
    <w:rsid w:val="003F639B"/>
    <w:rsid w:val="003F639E"/>
    <w:rsid w:val="003F78BB"/>
    <w:rsid w:val="004021E1"/>
    <w:rsid w:val="00403553"/>
    <w:rsid w:val="00406D04"/>
    <w:rsid w:val="00421750"/>
    <w:rsid w:val="00425731"/>
    <w:rsid w:val="0042603A"/>
    <w:rsid w:val="00432840"/>
    <w:rsid w:val="004349BD"/>
    <w:rsid w:val="00442E77"/>
    <w:rsid w:val="00444992"/>
    <w:rsid w:val="004451C9"/>
    <w:rsid w:val="004529BA"/>
    <w:rsid w:val="00455C8E"/>
    <w:rsid w:val="004573A6"/>
    <w:rsid w:val="00461CC0"/>
    <w:rsid w:val="00462C35"/>
    <w:rsid w:val="00466561"/>
    <w:rsid w:val="00475964"/>
    <w:rsid w:val="00477FC5"/>
    <w:rsid w:val="004815F2"/>
    <w:rsid w:val="0048486F"/>
    <w:rsid w:val="00494FFF"/>
    <w:rsid w:val="004A13A4"/>
    <w:rsid w:val="004A342D"/>
    <w:rsid w:val="004A3AFA"/>
    <w:rsid w:val="004A59EB"/>
    <w:rsid w:val="004A656A"/>
    <w:rsid w:val="004B0B7A"/>
    <w:rsid w:val="004B45EC"/>
    <w:rsid w:val="004C3443"/>
    <w:rsid w:val="004D2BD4"/>
    <w:rsid w:val="004D60DB"/>
    <w:rsid w:val="004F08E8"/>
    <w:rsid w:val="004F476A"/>
    <w:rsid w:val="004F5B5A"/>
    <w:rsid w:val="00501F94"/>
    <w:rsid w:val="00510216"/>
    <w:rsid w:val="00511407"/>
    <w:rsid w:val="00512D5E"/>
    <w:rsid w:val="00513AB7"/>
    <w:rsid w:val="00514361"/>
    <w:rsid w:val="00514B3D"/>
    <w:rsid w:val="00531467"/>
    <w:rsid w:val="00532F46"/>
    <w:rsid w:val="0053332B"/>
    <w:rsid w:val="00535E41"/>
    <w:rsid w:val="005376B1"/>
    <w:rsid w:val="005420F9"/>
    <w:rsid w:val="00542BAE"/>
    <w:rsid w:val="00544942"/>
    <w:rsid w:val="00553F47"/>
    <w:rsid w:val="005544DA"/>
    <w:rsid w:val="0055647A"/>
    <w:rsid w:val="0056042A"/>
    <w:rsid w:val="00564091"/>
    <w:rsid w:val="00564656"/>
    <w:rsid w:val="005664D5"/>
    <w:rsid w:val="00571738"/>
    <w:rsid w:val="00573CE0"/>
    <w:rsid w:val="00574B05"/>
    <w:rsid w:val="00582D24"/>
    <w:rsid w:val="00584750"/>
    <w:rsid w:val="00584A61"/>
    <w:rsid w:val="00592DB2"/>
    <w:rsid w:val="00594515"/>
    <w:rsid w:val="00595FBA"/>
    <w:rsid w:val="005A546F"/>
    <w:rsid w:val="005B1091"/>
    <w:rsid w:val="005B2782"/>
    <w:rsid w:val="005B32EC"/>
    <w:rsid w:val="005C391A"/>
    <w:rsid w:val="005C4C74"/>
    <w:rsid w:val="005C52A1"/>
    <w:rsid w:val="005C6316"/>
    <w:rsid w:val="005D6EAB"/>
    <w:rsid w:val="005E06CD"/>
    <w:rsid w:val="005E7A5E"/>
    <w:rsid w:val="005F1E25"/>
    <w:rsid w:val="005F27F3"/>
    <w:rsid w:val="005F6908"/>
    <w:rsid w:val="005F7E35"/>
    <w:rsid w:val="00605B76"/>
    <w:rsid w:val="00606B64"/>
    <w:rsid w:val="00607722"/>
    <w:rsid w:val="0061055B"/>
    <w:rsid w:val="0061133C"/>
    <w:rsid w:val="00612DC9"/>
    <w:rsid w:val="006134A6"/>
    <w:rsid w:val="00616C4E"/>
    <w:rsid w:val="00620797"/>
    <w:rsid w:val="00625E8B"/>
    <w:rsid w:val="00627148"/>
    <w:rsid w:val="00627724"/>
    <w:rsid w:val="00630065"/>
    <w:rsid w:val="00630672"/>
    <w:rsid w:val="00631EB6"/>
    <w:rsid w:val="00632893"/>
    <w:rsid w:val="00636DCC"/>
    <w:rsid w:val="00646AD0"/>
    <w:rsid w:val="00647617"/>
    <w:rsid w:val="0065409D"/>
    <w:rsid w:val="006561F1"/>
    <w:rsid w:val="006617CA"/>
    <w:rsid w:val="00663DF1"/>
    <w:rsid w:val="00665DA0"/>
    <w:rsid w:val="00665EEA"/>
    <w:rsid w:val="00670BAA"/>
    <w:rsid w:val="00671D30"/>
    <w:rsid w:val="006739B1"/>
    <w:rsid w:val="00675336"/>
    <w:rsid w:val="00677D1E"/>
    <w:rsid w:val="0068787B"/>
    <w:rsid w:val="006927DA"/>
    <w:rsid w:val="006A4108"/>
    <w:rsid w:val="006B1650"/>
    <w:rsid w:val="006B1B3E"/>
    <w:rsid w:val="006B479C"/>
    <w:rsid w:val="006B7F2F"/>
    <w:rsid w:val="006C04EC"/>
    <w:rsid w:val="006D301D"/>
    <w:rsid w:val="006D524F"/>
    <w:rsid w:val="006E2C24"/>
    <w:rsid w:val="006E3518"/>
    <w:rsid w:val="006E3C42"/>
    <w:rsid w:val="006E3F84"/>
    <w:rsid w:val="006F1E28"/>
    <w:rsid w:val="006F4FB9"/>
    <w:rsid w:val="006F63C7"/>
    <w:rsid w:val="0070144A"/>
    <w:rsid w:val="007078D0"/>
    <w:rsid w:val="0071302F"/>
    <w:rsid w:val="007148B3"/>
    <w:rsid w:val="00723766"/>
    <w:rsid w:val="007243C5"/>
    <w:rsid w:val="0072683D"/>
    <w:rsid w:val="00733D78"/>
    <w:rsid w:val="00735B85"/>
    <w:rsid w:val="00743C94"/>
    <w:rsid w:val="007450FA"/>
    <w:rsid w:val="00746D39"/>
    <w:rsid w:val="00756B0F"/>
    <w:rsid w:val="00757872"/>
    <w:rsid w:val="0076115C"/>
    <w:rsid w:val="007637DC"/>
    <w:rsid w:val="00763F0B"/>
    <w:rsid w:val="007665F5"/>
    <w:rsid w:val="0077054D"/>
    <w:rsid w:val="00772F9C"/>
    <w:rsid w:val="00773960"/>
    <w:rsid w:val="007771F3"/>
    <w:rsid w:val="0078145D"/>
    <w:rsid w:val="00783AD4"/>
    <w:rsid w:val="00795909"/>
    <w:rsid w:val="007A3294"/>
    <w:rsid w:val="007A6452"/>
    <w:rsid w:val="007A722D"/>
    <w:rsid w:val="007C18EB"/>
    <w:rsid w:val="007C5BD6"/>
    <w:rsid w:val="007C639E"/>
    <w:rsid w:val="007C7B8C"/>
    <w:rsid w:val="007D1CF9"/>
    <w:rsid w:val="007D49EF"/>
    <w:rsid w:val="007D4BB9"/>
    <w:rsid w:val="007E0459"/>
    <w:rsid w:val="007E46F0"/>
    <w:rsid w:val="007E5709"/>
    <w:rsid w:val="007E6C9E"/>
    <w:rsid w:val="007F3894"/>
    <w:rsid w:val="007F3BEA"/>
    <w:rsid w:val="007F7781"/>
    <w:rsid w:val="007F799F"/>
    <w:rsid w:val="0080256C"/>
    <w:rsid w:val="00804760"/>
    <w:rsid w:val="00805A70"/>
    <w:rsid w:val="00806B6E"/>
    <w:rsid w:val="0081021E"/>
    <w:rsid w:val="00810EE1"/>
    <w:rsid w:val="008177D4"/>
    <w:rsid w:val="008268D3"/>
    <w:rsid w:val="00826E6A"/>
    <w:rsid w:val="0083065F"/>
    <w:rsid w:val="0083097E"/>
    <w:rsid w:val="00831621"/>
    <w:rsid w:val="00834BA4"/>
    <w:rsid w:val="00835C96"/>
    <w:rsid w:val="00837D8B"/>
    <w:rsid w:val="00842A6B"/>
    <w:rsid w:val="00842B8C"/>
    <w:rsid w:val="0085489C"/>
    <w:rsid w:val="0085539F"/>
    <w:rsid w:val="008571FF"/>
    <w:rsid w:val="00857586"/>
    <w:rsid w:val="0086000D"/>
    <w:rsid w:val="0086369E"/>
    <w:rsid w:val="00864E5E"/>
    <w:rsid w:val="00867425"/>
    <w:rsid w:val="00867DDB"/>
    <w:rsid w:val="00872230"/>
    <w:rsid w:val="0087747A"/>
    <w:rsid w:val="00881D30"/>
    <w:rsid w:val="008842F0"/>
    <w:rsid w:val="00890326"/>
    <w:rsid w:val="008975E0"/>
    <w:rsid w:val="008A2324"/>
    <w:rsid w:val="008A772B"/>
    <w:rsid w:val="008A7D0D"/>
    <w:rsid w:val="008B694D"/>
    <w:rsid w:val="008C095B"/>
    <w:rsid w:val="008C491C"/>
    <w:rsid w:val="008C5408"/>
    <w:rsid w:val="008D3F09"/>
    <w:rsid w:val="008D4B95"/>
    <w:rsid w:val="008D51B4"/>
    <w:rsid w:val="008E1862"/>
    <w:rsid w:val="008E504C"/>
    <w:rsid w:val="008E7FA3"/>
    <w:rsid w:val="008F7E53"/>
    <w:rsid w:val="00903ACB"/>
    <w:rsid w:val="00907493"/>
    <w:rsid w:val="00911E11"/>
    <w:rsid w:val="00915622"/>
    <w:rsid w:val="00915A71"/>
    <w:rsid w:val="009164A3"/>
    <w:rsid w:val="00917AC6"/>
    <w:rsid w:val="00920097"/>
    <w:rsid w:val="00923A07"/>
    <w:rsid w:val="0092479D"/>
    <w:rsid w:val="009269F9"/>
    <w:rsid w:val="0093053E"/>
    <w:rsid w:val="00932D0A"/>
    <w:rsid w:val="0093438D"/>
    <w:rsid w:val="00936891"/>
    <w:rsid w:val="00937932"/>
    <w:rsid w:val="009400D3"/>
    <w:rsid w:val="009464A0"/>
    <w:rsid w:val="00946B56"/>
    <w:rsid w:val="00952D0F"/>
    <w:rsid w:val="00956F6C"/>
    <w:rsid w:val="009576F4"/>
    <w:rsid w:val="0095770A"/>
    <w:rsid w:val="00967111"/>
    <w:rsid w:val="0097034C"/>
    <w:rsid w:val="00971129"/>
    <w:rsid w:val="0097294E"/>
    <w:rsid w:val="00983A86"/>
    <w:rsid w:val="00992CDE"/>
    <w:rsid w:val="00995F71"/>
    <w:rsid w:val="00996EB4"/>
    <w:rsid w:val="009A1198"/>
    <w:rsid w:val="009A3563"/>
    <w:rsid w:val="009A69CE"/>
    <w:rsid w:val="009B0BE4"/>
    <w:rsid w:val="009B0F3A"/>
    <w:rsid w:val="009B0F95"/>
    <w:rsid w:val="009B117D"/>
    <w:rsid w:val="009B274E"/>
    <w:rsid w:val="009B33BA"/>
    <w:rsid w:val="009B3D05"/>
    <w:rsid w:val="009C1350"/>
    <w:rsid w:val="009C4310"/>
    <w:rsid w:val="009C79C5"/>
    <w:rsid w:val="009D6739"/>
    <w:rsid w:val="009E1F83"/>
    <w:rsid w:val="009E22A4"/>
    <w:rsid w:val="009F4285"/>
    <w:rsid w:val="009F4532"/>
    <w:rsid w:val="009F49B7"/>
    <w:rsid w:val="009F7244"/>
    <w:rsid w:val="00A04F26"/>
    <w:rsid w:val="00A05949"/>
    <w:rsid w:val="00A07146"/>
    <w:rsid w:val="00A11A11"/>
    <w:rsid w:val="00A12002"/>
    <w:rsid w:val="00A131EB"/>
    <w:rsid w:val="00A154E5"/>
    <w:rsid w:val="00A26AF4"/>
    <w:rsid w:val="00A30600"/>
    <w:rsid w:val="00A32BF4"/>
    <w:rsid w:val="00A32FDD"/>
    <w:rsid w:val="00A33211"/>
    <w:rsid w:val="00A35839"/>
    <w:rsid w:val="00A51EC8"/>
    <w:rsid w:val="00A54552"/>
    <w:rsid w:val="00A546B8"/>
    <w:rsid w:val="00A56760"/>
    <w:rsid w:val="00A66B39"/>
    <w:rsid w:val="00A70C54"/>
    <w:rsid w:val="00A77140"/>
    <w:rsid w:val="00A8398C"/>
    <w:rsid w:val="00A86423"/>
    <w:rsid w:val="00AA04C0"/>
    <w:rsid w:val="00AB6449"/>
    <w:rsid w:val="00AC4CE1"/>
    <w:rsid w:val="00AE01F8"/>
    <w:rsid w:val="00AE0D0D"/>
    <w:rsid w:val="00AE1FF3"/>
    <w:rsid w:val="00AE23E8"/>
    <w:rsid w:val="00AF4FC7"/>
    <w:rsid w:val="00AF5D6A"/>
    <w:rsid w:val="00B002EA"/>
    <w:rsid w:val="00B02053"/>
    <w:rsid w:val="00B04457"/>
    <w:rsid w:val="00B0485E"/>
    <w:rsid w:val="00B13B34"/>
    <w:rsid w:val="00B16020"/>
    <w:rsid w:val="00B20F3D"/>
    <w:rsid w:val="00B2393B"/>
    <w:rsid w:val="00B24F29"/>
    <w:rsid w:val="00B25E37"/>
    <w:rsid w:val="00B36570"/>
    <w:rsid w:val="00B40523"/>
    <w:rsid w:val="00B40C3C"/>
    <w:rsid w:val="00B4634B"/>
    <w:rsid w:val="00B471A5"/>
    <w:rsid w:val="00B51906"/>
    <w:rsid w:val="00B54E58"/>
    <w:rsid w:val="00B57E25"/>
    <w:rsid w:val="00B60147"/>
    <w:rsid w:val="00B61F32"/>
    <w:rsid w:val="00B632E2"/>
    <w:rsid w:val="00B66525"/>
    <w:rsid w:val="00B66FB6"/>
    <w:rsid w:val="00B76CB0"/>
    <w:rsid w:val="00B773E0"/>
    <w:rsid w:val="00B80268"/>
    <w:rsid w:val="00B804E8"/>
    <w:rsid w:val="00B8774D"/>
    <w:rsid w:val="00B90194"/>
    <w:rsid w:val="00B94C5C"/>
    <w:rsid w:val="00BA1DD7"/>
    <w:rsid w:val="00BA3312"/>
    <w:rsid w:val="00BA4561"/>
    <w:rsid w:val="00BB788E"/>
    <w:rsid w:val="00BC10FD"/>
    <w:rsid w:val="00BC370A"/>
    <w:rsid w:val="00BC387D"/>
    <w:rsid w:val="00BC3E47"/>
    <w:rsid w:val="00BC43E3"/>
    <w:rsid w:val="00BC5794"/>
    <w:rsid w:val="00BE10FA"/>
    <w:rsid w:val="00BE2530"/>
    <w:rsid w:val="00BE63AD"/>
    <w:rsid w:val="00BE7271"/>
    <w:rsid w:val="00BF435E"/>
    <w:rsid w:val="00BF4EC7"/>
    <w:rsid w:val="00C03B10"/>
    <w:rsid w:val="00C05733"/>
    <w:rsid w:val="00C05C2D"/>
    <w:rsid w:val="00C13626"/>
    <w:rsid w:val="00C2097B"/>
    <w:rsid w:val="00C20D18"/>
    <w:rsid w:val="00C213F8"/>
    <w:rsid w:val="00C22BF6"/>
    <w:rsid w:val="00C232E3"/>
    <w:rsid w:val="00C234F5"/>
    <w:rsid w:val="00C24509"/>
    <w:rsid w:val="00C3368E"/>
    <w:rsid w:val="00C34BA3"/>
    <w:rsid w:val="00C35A3D"/>
    <w:rsid w:val="00C41489"/>
    <w:rsid w:val="00C42A57"/>
    <w:rsid w:val="00C43C84"/>
    <w:rsid w:val="00C45091"/>
    <w:rsid w:val="00C47EBB"/>
    <w:rsid w:val="00C5094F"/>
    <w:rsid w:val="00C51F15"/>
    <w:rsid w:val="00C51F50"/>
    <w:rsid w:val="00C5264C"/>
    <w:rsid w:val="00C564B9"/>
    <w:rsid w:val="00C6195A"/>
    <w:rsid w:val="00C629A9"/>
    <w:rsid w:val="00C65595"/>
    <w:rsid w:val="00C709B9"/>
    <w:rsid w:val="00C73FD6"/>
    <w:rsid w:val="00C74245"/>
    <w:rsid w:val="00C83404"/>
    <w:rsid w:val="00C9213E"/>
    <w:rsid w:val="00C92663"/>
    <w:rsid w:val="00C92DDD"/>
    <w:rsid w:val="00C95879"/>
    <w:rsid w:val="00CA1AA3"/>
    <w:rsid w:val="00CA55B4"/>
    <w:rsid w:val="00CA6B9B"/>
    <w:rsid w:val="00CB13A3"/>
    <w:rsid w:val="00CB2153"/>
    <w:rsid w:val="00CB5A9F"/>
    <w:rsid w:val="00CC02A1"/>
    <w:rsid w:val="00CC085B"/>
    <w:rsid w:val="00CC5385"/>
    <w:rsid w:val="00CD6B52"/>
    <w:rsid w:val="00CD7122"/>
    <w:rsid w:val="00CF04CA"/>
    <w:rsid w:val="00CF1293"/>
    <w:rsid w:val="00CF46EE"/>
    <w:rsid w:val="00CF5F4A"/>
    <w:rsid w:val="00CF6412"/>
    <w:rsid w:val="00D0475F"/>
    <w:rsid w:val="00D10D9F"/>
    <w:rsid w:val="00D12C1A"/>
    <w:rsid w:val="00D14796"/>
    <w:rsid w:val="00D148A7"/>
    <w:rsid w:val="00D2027F"/>
    <w:rsid w:val="00D3340E"/>
    <w:rsid w:val="00D40ACF"/>
    <w:rsid w:val="00D46508"/>
    <w:rsid w:val="00D467EC"/>
    <w:rsid w:val="00D5489B"/>
    <w:rsid w:val="00D57605"/>
    <w:rsid w:val="00D60A92"/>
    <w:rsid w:val="00D82FBB"/>
    <w:rsid w:val="00D83815"/>
    <w:rsid w:val="00D840F1"/>
    <w:rsid w:val="00D940EE"/>
    <w:rsid w:val="00DA46BC"/>
    <w:rsid w:val="00DA6A73"/>
    <w:rsid w:val="00DA7A9E"/>
    <w:rsid w:val="00DB0D43"/>
    <w:rsid w:val="00DB1B95"/>
    <w:rsid w:val="00DB3A0F"/>
    <w:rsid w:val="00DB71CC"/>
    <w:rsid w:val="00DC018E"/>
    <w:rsid w:val="00DC503E"/>
    <w:rsid w:val="00DC5C6C"/>
    <w:rsid w:val="00DC7781"/>
    <w:rsid w:val="00DD02AB"/>
    <w:rsid w:val="00DD2C31"/>
    <w:rsid w:val="00DD34BD"/>
    <w:rsid w:val="00DD5E96"/>
    <w:rsid w:val="00DE172F"/>
    <w:rsid w:val="00DE72C7"/>
    <w:rsid w:val="00DF17D0"/>
    <w:rsid w:val="00DF4BC3"/>
    <w:rsid w:val="00DF63C8"/>
    <w:rsid w:val="00E01F71"/>
    <w:rsid w:val="00E03265"/>
    <w:rsid w:val="00E16793"/>
    <w:rsid w:val="00E17B63"/>
    <w:rsid w:val="00E20B79"/>
    <w:rsid w:val="00E21ED4"/>
    <w:rsid w:val="00E2418A"/>
    <w:rsid w:val="00E34F87"/>
    <w:rsid w:val="00E373EB"/>
    <w:rsid w:val="00E37A9A"/>
    <w:rsid w:val="00E43C92"/>
    <w:rsid w:val="00E4613B"/>
    <w:rsid w:val="00E54081"/>
    <w:rsid w:val="00E57C1C"/>
    <w:rsid w:val="00E727F7"/>
    <w:rsid w:val="00E7342B"/>
    <w:rsid w:val="00E75BE7"/>
    <w:rsid w:val="00E77030"/>
    <w:rsid w:val="00E777E2"/>
    <w:rsid w:val="00E80408"/>
    <w:rsid w:val="00E81AD6"/>
    <w:rsid w:val="00E81D06"/>
    <w:rsid w:val="00E9277F"/>
    <w:rsid w:val="00E97B22"/>
    <w:rsid w:val="00EA2261"/>
    <w:rsid w:val="00EA2CF9"/>
    <w:rsid w:val="00EA6B0F"/>
    <w:rsid w:val="00EB0969"/>
    <w:rsid w:val="00EB2FA1"/>
    <w:rsid w:val="00EB4A81"/>
    <w:rsid w:val="00EB5A07"/>
    <w:rsid w:val="00EB6AEB"/>
    <w:rsid w:val="00EC1B91"/>
    <w:rsid w:val="00EC6362"/>
    <w:rsid w:val="00ED57ED"/>
    <w:rsid w:val="00EE0071"/>
    <w:rsid w:val="00EE0717"/>
    <w:rsid w:val="00EE5A42"/>
    <w:rsid w:val="00EE5D1A"/>
    <w:rsid w:val="00EE5E4D"/>
    <w:rsid w:val="00EF68A8"/>
    <w:rsid w:val="00EF6FE4"/>
    <w:rsid w:val="00EF77A9"/>
    <w:rsid w:val="00F023CD"/>
    <w:rsid w:val="00F06C09"/>
    <w:rsid w:val="00F06DAB"/>
    <w:rsid w:val="00F0754C"/>
    <w:rsid w:val="00F133F8"/>
    <w:rsid w:val="00F13F98"/>
    <w:rsid w:val="00F33AB9"/>
    <w:rsid w:val="00F36A0E"/>
    <w:rsid w:val="00F40917"/>
    <w:rsid w:val="00F46C02"/>
    <w:rsid w:val="00F5269C"/>
    <w:rsid w:val="00F52773"/>
    <w:rsid w:val="00F5638D"/>
    <w:rsid w:val="00F56E7B"/>
    <w:rsid w:val="00F60C26"/>
    <w:rsid w:val="00F61FD2"/>
    <w:rsid w:val="00F62CE8"/>
    <w:rsid w:val="00F706FA"/>
    <w:rsid w:val="00F85DA2"/>
    <w:rsid w:val="00F86394"/>
    <w:rsid w:val="00F92ED9"/>
    <w:rsid w:val="00F94DDF"/>
    <w:rsid w:val="00FA0170"/>
    <w:rsid w:val="00FA2121"/>
    <w:rsid w:val="00FA3F3A"/>
    <w:rsid w:val="00FA44BB"/>
    <w:rsid w:val="00FA6A38"/>
    <w:rsid w:val="00FB022B"/>
    <w:rsid w:val="00FB3668"/>
    <w:rsid w:val="00FC0A65"/>
    <w:rsid w:val="00FC6D3D"/>
    <w:rsid w:val="00FD046D"/>
    <w:rsid w:val="00FD55B8"/>
    <w:rsid w:val="00FD629B"/>
    <w:rsid w:val="00FD731F"/>
    <w:rsid w:val="00FD755D"/>
    <w:rsid w:val="00FE087D"/>
    <w:rsid w:val="00FF0D1C"/>
    <w:rsid w:val="00FF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67CE"/>
  <w15:chartTrackingRefBased/>
  <w15:docId w15:val="{0AE25653-FF73-4C23-B469-A85FA811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CE8"/>
    <w:rPr>
      <w:rFonts w:ascii="Segoe UI" w:hAnsi="Segoe UI" w:cs="Segoe UI"/>
      <w:sz w:val="18"/>
      <w:szCs w:val="18"/>
    </w:rPr>
  </w:style>
  <w:style w:type="table" w:styleId="TableGrid">
    <w:name w:val="Table Grid"/>
    <w:basedOn w:val="TableNormal"/>
    <w:uiPriority w:val="59"/>
    <w:rsid w:val="004D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BAE"/>
    <w:pPr>
      <w:spacing w:after="0" w:line="240" w:lineRule="auto"/>
      <w:ind w:left="720"/>
      <w:contextualSpacing/>
    </w:pPr>
    <w:rPr>
      <w:rFonts w:ascii="Calibri" w:hAnsi="Calibri" w:cs="Times New Roman"/>
    </w:rPr>
  </w:style>
  <w:style w:type="character" w:styleId="CommentReference">
    <w:name w:val="annotation reference"/>
    <w:basedOn w:val="DefaultParagraphFont"/>
    <w:uiPriority w:val="99"/>
    <w:semiHidden/>
    <w:unhideWhenUsed/>
    <w:rsid w:val="005664D5"/>
    <w:rPr>
      <w:sz w:val="16"/>
      <w:szCs w:val="16"/>
    </w:rPr>
  </w:style>
  <w:style w:type="paragraph" w:styleId="CommentText">
    <w:name w:val="annotation text"/>
    <w:basedOn w:val="Normal"/>
    <w:link w:val="CommentTextChar"/>
    <w:uiPriority w:val="99"/>
    <w:semiHidden/>
    <w:unhideWhenUsed/>
    <w:rsid w:val="005664D5"/>
    <w:pPr>
      <w:spacing w:line="240" w:lineRule="auto"/>
    </w:pPr>
    <w:rPr>
      <w:sz w:val="20"/>
      <w:szCs w:val="20"/>
    </w:rPr>
  </w:style>
  <w:style w:type="character" w:customStyle="1" w:styleId="CommentTextChar">
    <w:name w:val="Comment Text Char"/>
    <w:basedOn w:val="DefaultParagraphFont"/>
    <w:link w:val="CommentText"/>
    <w:uiPriority w:val="99"/>
    <w:semiHidden/>
    <w:rsid w:val="005664D5"/>
    <w:rPr>
      <w:sz w:val="20"/>
      <w:szCs w:val="20"/>
    </w:rPr>
  </w:style>
  <w:style w:type="paragraph" w:styleId="CommentSubject">
    <w:name w:val="annotation subject"/>
    <w:basedOn w:val="CommentText"/>
    <w:next w:val="CommentText"/>
    <w:link w:val="CommentSubjectChar"/>
    <w:uiPriority w:val="99"/>
    <w:semiHidden/>
    <w:unhideWhenUsed/>
    <w:rsid w:val="005664D5"/>
    <w:rPr>
      <w:b/>
      <w:bCs/>
    </w:rPr>
  </w:style>
  <w:style w:type="character" w:customStyle="1" w:styleId="CommentSubjectChar">
    <w:name w:val="Comment Subject Char"/>
    <w:basedOn w:val="CommentTextChar"/>
    <w:link w:val="CommentSubject"/>
    <w:uiPriority w:val="99"/>
    <w:semiHidden/>
    <w:rsid w:val="005664D5"/>
    <w:rPr>
      <w:b/>
      <w:bCs/>
      <w:sz w:val="20"/>
      <w:szCs w:val="20"/>
    </w:rPr>
  </w:style>
  <w:style w:type="paragraph" w:styleId="Header">
    <w:name w:val="header"/>
    <w:basedOn w:val="Normal"/>
    <w:link w:val="HeaderChar"/>
    <w:uiPriority w:val="99"/>
    <w:unhideWhenUsed/>
    <w:rsid w:val="00C51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F50"/>
  </w:style>
  <w:style w:type="paragraph" w:styleId="Footer">
    <w:name w:val="footer"/>
    <w:basedOn w:val="Normal"/>
    <w:link w:val="FooterChar"/>
    <w:uiPriority w:val="99"/>
    <w:unhideWhenUsed/>
    <w:rsid w:val="00C51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3815">
      <w:bodyDiv w:val="1"/>
      <w:marLeft w:val="0"/>
      <w:marRight w:val="0"/>
      <w:marTop w:val="0"/>
      <w:marBottom w:val="0"/>
      <w:divBdr>
        <w:top w:val="none" w:sz="0" w:space="0" w:color="auto"/>
        <w:left w:val="none" w:sz="0" w:space="0" w:color="auto"/>
        <w:bottom w:val="none" w:sz="0" w:space="0" w:color="auto"/>
        <w:right w:val="none" w:sz="0" w:space="0" w:color="auto"/>
      </w:divBdr>
    </w:div>
    <w:div w:id="10052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550462dbb501add44aa361739b3d613c">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020bccc98bc333b75d38f605b9682d36"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F5289-BB33-4921-8CC2-96BDE328A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0B0E1-903D-4F0E-A142-994267A642FA}">
  <ds:schemaRefs>
    <ds:schemaRef ds:uri="http://schemas.microsoft.com/sharepoint/v3/contenttype/forms"/>
  </ds:schemaRefs>
</ds:datastoreItem>
</file>

<file path=customXml/itemProps3.xml><?xml version="1.0" encoding="utf-8"?>
<ds:datastoreItem xmlns:ds="http://schemas.openxmlformats.org/officeDocument/2006/customXml" ds:itemID="{E0E33847-BCB6-413A-8FBD-728CB1CF7FDB}">
  <ds:schemaRefs>
    <ds:schemaRef ds:uri="http://schemas.microsoft.com/office/2006/documentManagement/types"/>
    <ds:schemaRef ds:uri="http://schemas.microsoft.com/office/2006/metadata/properties"/>
    <ds:schemaRef ds:uri="e2c2f301-4a03-4ece-b5a5-e8fe594b9300"/>
    <ds:schemaRef ds:uri="http://purl.org/dc/elements/1.1/"/>
    <ds:schemaRef ds:uri="http://schemas.openxmlformats.org/package/2006/metadata/core-properties"/>
    <ds:schemaRef ds:uri="http://schemas.microsoft.com/office/infopath/2007/PartnerControls"/>
    <ds:schemaRef ds:uri="http://purl.org/dc/terms/"/>
    <ds:schemaRef ds:uri="5ca6cff0-282a-474a-8a9a-e57004c19a3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Poland, Amy</dc:creator>
  <cp:keywords/>
  <dc:description/>
  <cp:lastModifiedBy>Senese, Gail</cp:lastModifiedBy>
  <cp:revision>57</cp:revision>
  <dcterms:created xsi:type="dcterms:W3CDTF">2020-12-23T16:57:00Z</dcterms:created>
  <dcterms:modified xsi:type="dcterms:W3CDTF">2020-12-23T20:59:00Z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