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2EFC" w14:textId="77777777" w:rsidR="00C71398" w:rsidRDefault="00C71398" w:rsidP="001C6AD7">
      <w:pPr>
        <w:shd w:val="clear" w:color="auto" w:fill="E7E6E6" w:themeFill="background2"/>
        <w:spacing w:after="0"/>
        <w:jc w:val="both"/>
        <w:rPr>
          <w:b/>
        </w:rPr>
      </w:pPr>
    </w:p>
    <w:p w14:paraId="4BF4716F" w14:textId="77777777" w:rsidR="008F2BEA" w:rsidRPr="005366BC" w:rsidRDefault="00EC2C25" w:rsidP="001C6AD7">
      <w:pPr>
        <w:shd w:val="clear" w:color="auto" w:fill="E7E6E6" w:themeFill="background2"/>
        <w:spacing w:after="0"/>
        <w:jc w:val="both"/>
        <w:rPr>
          <w:b/>
        </w:rPr>
      </w:pPr>
      <w:r w:rsidRPr="005366BC">
        <w:rPr>
          <w:b/>
        </w:rPr>
        <w:t>State Leadership Funds (AEFLA Section 223)</w:t>
      </w:r>
    </w:p>
    <w:p w14:paraId="7BB07AC6" w14:textId="77777777" w:rsidR="00F07D88" w:rsidRPr="005366BC" w:rsidRDefault="005366BC" w:rsidP="001C6AD7">
      <w:pPr>
        <w:shd w:val="clear" w:color="auto" w:fill="E7E6E6" w:themeFill="background2"/>
        <w:spacing w:after="0"/>
        <w:jc w:val="both"/>
        <w:rPr>
          <w:i/>
          <w:sz w:val="20"/>
          <w:szCs w:val="20"/>
        </w:rPr>
      </w:pPr>
      <w:r>
        <w:rPr>
          <w:rFonts w:cs="Times New Roman"/>
          <w:i/>
          <w:sz w:val="20"/>
          <w:szCs w:val="20"/>
        </w:rPr>
        <w:t>(A</w:t>
      </w:r>
      <w:r w:rsidR="00EC2C25" w:rsidRPr="00B00C52">
        <w:rPr>
          <w:rFonts w:cs="Times New Roman"/>
          <w:i/>
          <w:sz w:val="20"/>
          <w:szCs w:val="20"/>
        </w:rPr>
        <w:t>) Describe how the State has used funds made available unde</w:t>
      </w:r>
      <w:r w:rsidR="00291B6B" w:rsidRPr="00B00C52">
        <w:rPr>
          <w:rFonts w:cs="Times New Roman"/>
          <w:i/>
          <w:sz w:val="20"/>
          <w:szCs w:val="20"/>
        </w:rPr>
        <w:t xml:space="preserve">r section 223 (State Leadership </w:t>
      </w:r>
      <w:r w:rsidR="00EC2C25" w:rsidRPr="00B00C52">
        <w:rPr>
          <w:rFonts w:cs="Times New Roman"/>
          <w:i/>
          <w:sz w:val="20"/>
          <w:szCs w:val="20"/>
        </w:rPr>
        <w:t>activities) for each the following required activities:</w:t>
      </w:r>
    </w:p>
    <w:p w14:paraId="7713CA82" w14:textId="0BBC9BEC" w:rsidR="001C6AD7" w:rsidRPr="00D2137D" w:rsidRDefault="00EC2C25" w:rsidP="00D2137D">
      <w:pPr>
        <w:pStyle w:val="ListParagraph"/>
        <w:numPr>
          <w:ilvl w:val="0"/>
          <w:numId w:val="26"/>
        </w:numPr>
        <w:shd w:val="clear" w:color="auto" w:fill="E7E6E6" w:themeFill="background2"/>
        <w:jc w:val="both"/>
        <w:rPr>
          <w:i/>
          <w:sz w:val="20"/>
          <w:szCs w:val="20"/>
        </w:rPr>
      </w:pPr>
      <w:r w:rsidRPr="00D2137D">
        <w:rPr>
          <w:rFonts w:cs="Times New Roman"/>
          <w:i/>
          <w:sz w:val="20"/>
          <w:szCs w:val="20"/>
        </w:rPr>
        <w:t>Alignment of adult education and literacy activities with other one-stop required</w:t>
      </w:r>
      <w:r w:rsidR="00291B6B" w:rsidRPr="00D2137D">
        <w:rPr>
          <w:rFonts w:cs="Times New Roman"/>
          <w:i/>
          <w:sz w:val="20"/>
          <w:szCs w:val="20"/>
        </w:rPr>
        <w:t xml:space="preserve"> </w:t>
      </w:r>
      <w:r w:rsidRPr="00D2137D">
        <w:rPr>
          <w:rFonts w:cs="Times New Roman"/>
          <w:i/>
          <w:sz w:val="20"/>
          <w:szCs w:val="20"/>
        </w:rPr>
        <w:t>partners to implement the strategies in the Unified or Combined State Plan as described</w:t>
      </w:r>
      <w:r w:rsidR="007F532E" w:rsidRPr="00D2137D">
        <w:rPr>
          <w:rFonts w:cs="Times New Roman"/>
          <w:i/>
          <w:sz w:val="20"/>
          <w:szCs w:val="20"/>
        </w:rPr>
        <w:t xml:space="preserve"> </w:t>
      </w:r>
      <w:r w:rsidRPr="00D2137D">
        <w:rPr>
          <w:rFonts w:cs="Times New Roman"/>
          <w:i/>
          <w:sz w:val="20"/>
          <w:szCs w:val="20"/>
        </w:rPr>
        <w:t>in section 223(1)(a).</w:t>
      </w:r>
    </w:p>
    <w:p w14:paraId="3C3AD5FE" w14:textId="4D4CCC7F" w:rsidR="00EC2C25" w:rsidRPr="001C6AD7" w:rsidRDefault="00EC2C25" w:rsidP="001C6AD7">
      <w:pPr>
        <w:pStyle w:val="ListParagraph"/>
        <w:numPr>
          <w:ilvl w:val="0"/>
          <w:numId w:val="26"/>
        </w:numPr>
        <w:shd w:val="clear" w:color="auto" w:fill="E7E6E6" w:themeFill="background2"/>
        <w:jc w:val="both"/>
        <w:rPr>
          <w:i/>
          <w:sz w:val="20"/>
          <w:szCs w:val="20"/>
        </w:rPr>
      </w:pPr>
      <w:r w:rsidRPr="001C6AD7">
        <w:rPr>
          <w:rFonts w:cs="Times New Roman"/>
          <w:i/>
          <w:sz w:val="20"/>
          <w:szCs w:val="20"/>
        </w:rPr>
        <w:t xml:space="preserve">Establishment or operation of a </w:t>
      </w:r>
      <w:r w:rsidR="00772455" w:rsidRPr="001C6AD7">
        <w:rPr>
          <w:rFonts w:cs="Times New Roman"/>
          <w:i/>
          <w:sz w:val="20"/>
          <w:szCs w:val="20"/>
        </w:rPr>
        <w:t>high-quality</w:t>
      </w:r>
      <w:r w:rsidRPr="001C6AD7">
        <w:rPr>
          <w:rFonts w:cs="Times New Roman"/>
          <w:i/>
          <w:sz w:val="20"/>
          <w:szCs w:val="20"/>
        </w:rPr>
        <w:t xml:space="preserve"> p</w:t>
      </w:r>
      <w:r w:rsidR="00D46FCF" w:rsidRPr="001C6AD7">
        <w:rPr>
          <w:rFonts w:cs="Times New Roman"/>
          <w:i/>
          <w:sz w:val="20"/>
          <w:szCs w:val="20"/>
        </w:rPr>
        <w:t>rofessional development program</w:t>
      </w:r>
      <w:r w:rsidRPr="001C6AD7">
        <w:rPr>
          <w:rFonts w:cs="Times New Roman"/>
          <w:i/>
          <w:sz w:val="20"/>
          <w:szCs w:val="20"/>
        </w:rPr>
        <w:t xml:space="preserve"> as</w:t>
      </w:r>
      <w:r w:rsidR="00291B6B" w:rsidRPr="001C6AD7">
        <w:rPr>
          <w:rFonts w:cs="Times New Roman"/>
          <w:i/>
          <w:sz w:val="20"/>
          <w:szCs w:val="20"/>
        </w:rPr>
        <w:t xml:space="preserve"> </w:t>
      </w:r>
      <w:r w:rsidRPr="001C6AD7">
        <w:rPr>
          <w:rFonts w:cs="Times New Roman"/>
          <w:i/>
          <w:sz w:val="20"/>
          <w:szCs w:val="20"/>
        </w:rPr>
        <w:t>described in section 223(1)(b).</w:t>
      </w:r>
    </w:p>
    <w:p w14:paraId="3830523B" w14:textId="77777777" w:rsidR="00EC2C25" w:rsidRPr="001C6AD7" w:rsidRDefault="00EC2C25" w:rsidP="001C6AD7">
      <w:pPr>
        <w:pStyle w:val="ListParagraph"/>
        <w:numPr>
          <w:ilvl w:val="0"/>
          <w:numId w:val="26"/>
        </w:numPr>
        <w:shd w:val="clear" w:color="auto" w:fill="E7E6E6" w:themeFill="background2"/>
        <w:autoSpaceDE w:val="0"/>
        <w:autoSpaceDN w:val="0"/>
        <w:adjustRightInd w:val="0"/>
        <w:spacing w:after="0" w:line="240" w:lineRule="auto"/>
        <w:jc w:val="both"/>
        <w:rPr>
          <w:rFonts w:cs="Times New Roman"/>
          <w:i/>
          <w:sz w:val="20"/>
          <w:szCs w:val="20"/>
        </w:rPr>
      </w:pPr>
      <w:r w:rsidRPr="001C6AD7">
        <w:rPr>
          <w:rFonts w:cs="Times New Roman"/>
          <w:i/>
          <w:sz w:val="20"/>
          <w:szCs w:val="20"/>
        </w:rPr>
        <w:t>Provision of technical assistance to funded eligible providers as described in section 223(1)(c).</w:t>
      </w:r>
    </w:p>
    <w:p w14:paraId="22F83B42" w14:textId="1A48C7FC" w:rsidR="00F07D88" w:rsidRPr="001C6AD7" w:rsidRDefault="00EC2C25" w:rsidP="001C6AD7">
      <w:pPr>
        <w:pStyle w:val="ListParagraph"/>
        <w:numPr>
          <w:ilvl w:val="0"/>
          <w:numId w:val="26"/>
        </w:numPr>
        <w:shd w:val="clear" w:color="auto" w:fill="E7E6E6" w:themeFill="background2"/>
        <w:autoSpaceDE w:val="0"/>
        <w:autoSpaceDN w:val="0"/>
        <w:adjustRightInd w:val="0"/>
        <w:spacing w:after="0" w:line="240" w:lineRule="auto"/>
        <w:jc w:val="both"/>
        <w:rPr>
          <w:rFonts w:cs="Times New Roman"/>
          <w:i/>
          <w:sz w:val="20"/>
          <w:szCs w:val="20"/>
        </w:rPr>
      </w:pPr>
      <w:r w:rsidRPr="001C6AD7">
        <w:rPr>
          <w:rFonts w:cs="Times New Roman"/>
          <w:i/>
          <w:sz w:val="20"/>
          <w:szCs w:val="20"/>
        </w:rPr>
        <w:t>Monitoring and evaluation of the quality and improvement of adult education activities</w:t>
      </w:r>
      <w:r w:rsidR="00291B6B" w:rsidRPr="001C6AD7">
        <w:rPr>
          <w:rFonts w:cs="Times New Roman"/>
          <w:i/>
          <w:sz w:val="20"/>
          <w:szCs w:val="20"/>
        </w:rPr>
        <w:t xml:space="preserve"> </w:t>
      </w:r>
      <w:r w:rsidRPr="001C6AD7">
        <w:rPr>
          <w:rFonts w:cs="Times New Roman"/>
          <w:i/>
          <w:sz w:val="20"/>
          <w:szCs w:val="20"/>
        </w:rPr>
        <w:t>as described in section 223(1)(d).</w:t>
      </w:r>
      <w:r w:rsidR="00425F5D" w:rsidRPr="001C6AD7">
        <w:rPr>
          <w:rFonts w:cs="Times New Roman"/>
          <w:i/>
          <w:sz w:val="20"/>
          <w:szCs w:val="20"/>
        </w:rPr>
        <w:t xml:space="preserve"> </w:t>
      </w:r>
    </w:p>
    <w:p w14:paraId="28061E6E" w14:textId="77777777" w:rsidR="00EC2C25" w:rsidRPr="00B00C52" w:rsidRDefault="005366BC" w:rsidP="001C6AD7">
      <w:pPr>
        <w:pBdr>
          <w:bottom w:val="single" w:sz="4" w:space="1" w:color="auto"/>
        </w:pBdr>
        <w:shd w:val="clear" w:color="auto" w:fill="E7E6E6" w:themeFill="background2"/>
        <w:autoSpaceDE w:val="0"/>
        <w:autoSpaceDN w:val="0"/>
        <w:adjustRightInd w:val="0"/>
        <w:spacing w:after="0" w:line="240" w:lineRule="auto"/>
        <w:jc w:val="both"/>
        <w:rPr>
          <w:rFonts w:cs="Times New Roman"/>
          <w:i/>
          <w:sz w:val="20"/>
          <w:szCs w:val="20"/>
        </w:rPr>
      </w:pPr>
      <w:r>
        <w:rPr>
          <w:rFonts w:cs="Times New Roman"/>
          <w:i/>
          <w:sz w:val="20"/>
          <w:szCs w:val="20"/>
        </w:rPr>
        <w:t>(B</w:t>
      </w:r>
      <w:r w:rsidR="00EC2C25" w:rsidRPr="00B00C52">
        <w:rPr>
          <w:rFonts w:cs="Times New Roman"/>
          <w:i/>
          <w:sz w:val="20"/>
          <w:szCs w:val="20"/>
        </w:rPr>
        <w:t>) As applicable, describe how the State has used funds for ad</w:t>
      </w:r>
      <w:r w:rsidR="00291B6B" w:rsidRPr="00B00C52">
        <w:rPr>
          <w:rFonts w:cs="Times New Roman"/>
          <w:i/>
          <w:sz w:val="20"/>
          <w:szCs w:val="20"/>
        </w:rPr>
        <w:t xml:space="preserve">ditional permissible activities </w:t>
      </w:r>
      <w:r w:rsidR="00EC2C25" w:rsidRPr="00B00C52">
        <w:rPr>
          <w:rFonts w:cs="Times New Roman"/>
          <w:i/>
          <w:sz w:val="20"/>
          <w:szCs w:val="20"/>
        </w:rPr>
        <w:t>described in section 223(a)(2).</w:t>
      </w:r>
    </w:p>
    <w:p w14:paraId="0DCA386E" w14:textId="77777777" w:rsidR="007B6F53" w:rsidRPr="007D3516" w:rsidRDefault="007B6F53" w:rsidP="00211AB0">
      <w:pPr>
        <w:autoSpaceDE w:val="0"/>
        <w:autoSpaceDN w:val="0"/>
        <w:adjustRightInd w:val="0"/>
        <w:spacing w:after="0" w:line="240" w:lineRule="auto"/>
        <w:jc w:val="both"/>
        <w:rPr>
          <w:rFonts w:cs="Times New Roman"/>
        </w:rPr>
      </w:pPr>
    </w:p>
    <w:p w14:paraId="21E39EF7" w14:textId="77777777" w:rsidR="00357EFB" w:rsidRPr="00CA6F87" w:rsidRDefault="00CA6F87" w:rsidP="00211AB0">
      <w:pPr>
        <w:autoSpaceDE w:val="0"/>
        <w:autoSpaceDN w:val="0"/>
        <w:adjustRightInd w:val="0"/>
        <w:spacing w:after="0" w:line="240" w:lineRule="auto"/>
        <w:jc w:val="both"/>
        <w:rPr>
          <w:rFonts w:cs="Times New Roman"/>
          <w:u w:val="single"/>
        </w:rPr>
      </w:pPr>
      <w:r w:rsidRPr="00CA6F87">
        <w:rPr>
          <w:rFonts w:cs="Times New Roman"/>
          <w:u w:val="single"/>
        </w:rPr>
        <w:t>(</w:t>
      </w:r>
      <w:r w:rsidR="005366BC" w:rsidRPr="00CA6F87">
        <w:rPr>
          <w:rFonts w:cs="Times New Roman"/>
          <w:u w:val="single"/>
        </w:rPr>
        <w:t>A.1</w:t>
      </w:r>
      <w:r w:rsidRPr="00CA6F87">
        <w:rPr>
          <w:rFonts w:cs="Times New Roman"/>
          <w:u w:val="single"/>
        </w:rPr>
        <w:t>)</w:t>
      </w:r>
      <w:r w:rsidR="005366BC" w:rsidRPr="00CA6F87">
        <w:rPr>
          <w:rFonts w:cs="Times New Roman"/>
          <w:u w:val="single"/>
        </w:rPr>
        <w:t xml:space="preserve"> </w:t>
      </w:r>
      <w:r w:rsidR="00D30EC5">
        <w:rPr>
          <w:rFonts w:cs="Times New Roman"/>
          <w:u w:val="single"/>
        </w:rPr>
        <w:t>Alignment</w:t>
      </w:r>
    </w:p>
    <w:p w14:paraId="01AB673D" w14:textId="5ADDDED7" w:rsidR="00722812" w:rsidRPr="00ED2995" w:rsidRDefault="00383B8B" w:rsidP="00722812">
      <w:pPr>
        <w:autoSpaceDE w:val="0"/>
        <w:autoSpaceDN w:val="0"/>
        <w:adjustRightInd w:val="0"/>
        <w:spacing w:after="0" w:line="240" w:lineRule="auto"/>
        <w:jc w:val="both"/>
      </w:pPr>
      <w:r>
        <w:t>During PY 2019-2020</w:t>
      </w:r>
      <w:r w:rsidR="00722812">
        <w:t>, Alabama Adult Education, in tandem with its WIOA partners, intensified efforts to expand training opportunities to job seekers.  Alabama’s Governor has established a postsecondary education attainment goal of adding 500,000 skilled workers to Alabama’s workforce by 2025, as well as a goal to increase Alabama’s labor force participation rate of 57.8% to the national average by 2025.  To fulfill its role in supporting these goals, and the integration and expansion of training services to be delivered within the Career Center System, Alabama Adult Education has strategically allocated and expended funds under Section 223, securing service locations in all Comprehensive Career Centers and most affiliates throughout the state.</w:t>
      </w:r>
    </w:p>
    <w:p w14:paraId="66D0CB1A" w14:textId="77777777" w:rsidR="00722812" w:rsidRDefault="00722812" w:rsidP="00211AB0">
      <w:pPr>
        <w:autoSpaceDE w:val="0"/>
        <w:autoSpaceDN w:val="0"/>
        <w:adjustRightInd w:val="0"/>
        <w:spacing w:after="0" w:line="240" w:lineRule="auto"/>
        <w:jc w:val="both"/>
      </w:pPr>
    </w:p>
    <w:p w14:paraId="2E58C075" w14:textId="61B85056" w:rsidR="007A0C45" w:rsidRDefault="00C92BC9" w:rsidP="00211AB0">
      <w:pPr>
        <w:autoSpaceDE w:val="0"/>
        <w:autoSpaceDN w:val="0"/>
        <w:adjustRightInd w:val="0"/>
        <w:spacing w:after="0" w:line="240" w:lineRule="auto"/>
        <w:jc w:val="both"/>
      </w:pPr>
      <w:r>
        <w:t xml:space="preserve">The </w:t>
      </w:r>
      <w:r w:rsidR="00B75F0A" w:rsidRPr="007D3516">
        <w:t xml:space="preserve">services </w:t>
      </w:r>
      <w:r>
        <w:t xml:space="preserve">provided through Adult Education in the Career Centers </w:t>
      </w:r>
      <w:r w:rsidR="00B75F0A" w:rsidRPr="007D3516">
        <w:t>continue to grow beyond traditional academic and High School Equivalency preparation.  Under WIOA, Adult Educa</w:t>
      </w:r>
      <w:r>
        <w:t>tion and the Career Centers have elevated</w:t>
      </w:r>
      <w:r w:rsidR="00B75F0A" w:rsidRPr="007D3516">
        <w:t xml:space="preserve"> their partnership to include an integrated education and training approach that </w:t>
      </w:r>
      <w:r w:rsidR="00882A14">
        <w:t>place</w:t>
      </w:r>
      <w:r w:rsidR="005F55C2">
        <w:t>s</w:t>
      </w:r>
      <w:r w:rsidR="009C4D5E">
        <w:t xml:space="preserve"> </w:t>
      </w:r>
      <w:r w:rsidR="00B75F0A" w:rsidRPr="007D3516">
        <w:t>adult</w:t>
      </w:r>
      <w:r w:rsidR="009C4D5E">
        <w:t>s</w:t>
      </w:r>
      <w:r w:rsidR="000E35B2">
        <w:t xml:space="preserve"> on a p</w:t>
      </w:r>
      <w:r w:rsidR="00B75F0A" w:rsidRPr="007D3516">
        <w:t xml:space="preserve">athway to successful employment and increased earning opportunities.  </w:t>
      </w:r>
      <w:r w:rsidR="00B75F0A" w:rsidRPr="00C3605C">
        <w:t xml:space="preserve">The </w:t>
      </w:r>
      <w:r w:rsidR="00B75F0A" w:rsidRPr="00C3605C">
        <w:rPr>
          <w:i/>
        </w:rPr>
        <w:t>Adult Career Pathway</w:t>
      </w:r>
      <w:r w:rsidR="00B75F0A" w:rsidRPr="00C3605C">
        <w:t xml:space="preserve"> program</w:t>
      </w:r>
      <w:r w:rsidR="008B7C0A">
        <w:t xml:space="preserve"> </w:t>
      </w:r>
      <w:r w:rsidR="00722812">
        <w:t xml:space="preserve">integrates </w:t>
      </w:r>
      <w:r w:rsidR="00F45C96" w:rsidRPr="00C3605C">
        <w:t xml:space="preserve">contextualized </w:t>
      </w:r>
      <w:r w:rsidR="00722812">
        <w:t>basic academic skills</w:t>
      </w:r>
      <w:r w:rsidR="008B7C0A">
        <w:t xml:space="preserve"> with </w:t>
      </w:r>
      <w:r w:rsidR="00F45C96" w:rsidRPr="00C3605C">
        <w:t>technical</w:t>
      </w:r>
      <w:r w:rsidR="00722812">
        <w:t xml:space="preserve"> skills training where adults can earn</w:t>
      </w:r>
      <w:r w:rsidR="008B7C0A">
        <w:t xml:space="preserve"> </w:t>
      </w:r>
      <w:r w:rsidR="00F45C96" w:rsidRPr="00C3605C">
        <w:t>stackable</w:t>
      </w:r>
      <w:r w:rsidR="008B7C0A">
        <w:t>,</w:t>
      </w:r>
      <w:r w:rsidR="00F45C96" w:rsidRPr="00C3605C">
        <w:t xml:space="preserve"> </w:t>
      </w:r>
      <w:r w:rsidR="008B7C0A">
        <w:t xml:space="preserve">industry recognized </w:t>
      </w:r>
      <w:r w:rsidR="00F45C96" w:rsidRPr="00C3605C">
        <w:t>credentials and certificates</w:t>
      </w:r>
      <w:r w:rsidR="008B7C0A">
        <w:t xml:space="preserve"> along</w:t>
      </w:r>
      <w:r w:rsidR="00F45C96" w:rsidRPr="00C3605C">
        <w:t xml:space="preserve"> </w:t>
      </w:r>
      <w:r w:rsidR="008B7C0A">
        <w:t xml:space="preserve">an educational path with </w:t>
      </w:r>
      <w:r w:rsidR="00F45C96" w:rsidRPr="00C3605C">
        <w:t>multiple entry and ex</w:t>
      </w:r>
      <w:r w:rsidR="006672BA" w:rsidRPr="00C3605C">
        <w:t>it points</w:t>
      </w:r>
      <w:r w:rsidR="00F45C96" w:rsidRPr="00C3605C">
        <w:t>.</w:t>
      </w:r>
      <w:r w:rsidR="00F45C96">
        <w:t xml:space="preserve">  </w:t>
      </w:r>
    </w:p>
    <w:p w14:paraId="1DDC1B27" w14:textId="3764C1F8" w:rsidR="007A0C45" w:rsidRDefault="007A0C45" w:rsidP="00211AB0">
      <w:pPr>
        <w:autoSpaceDE w:val="0"/>
        <w:autoSpaceDN w:val="0"/>
        <w:adjustRightInd w:val="0"/>
        <w:spacing w:after="0" w:line="240" w:lineRule="auto"/>
        <w:jc w:val="both"/>
      </w:pPr>
    </w:p>
    <w:p w14:paraId="479D0B8C" w14:textId="48FFF294" w:rsidR="00722812" w:rsidRDefault="00722812" w:rsidP="00722812">
      <w:pPr>
        <w:autoSpaceDE w:val="0"/>
        <w:autoSpaceDN w:val="0"/>
        <w:adjustRightInd w:val="0"/>
        <w:spacing w:after="0" w:line="240" w:lineRule="auto"/>
        <w:jc w:val="both"/>
        <w:rPr>
          <w:rFonts w:cs="Times New Roman"/>
        </w:rPr>
      </w:pPr>
      <w:r>
        <w:rPr>
          <w:rFonts w:cs="Times New Roman"/>
        </w:rPr>
        <w:t>All adult education providers are encouraged to provide Integrated Education and Training (IET) to accelerate the learning process and provide relevance to students as they complete foundational academics. Adult education funds are leveraged with other WIOA partner funds to support the IET program model.    Alabama Adult Education co-manages, with the Alabama Department of Labor, a job-readiness program called Ready to Work (RTW), which is specific to Alabama and highly requested by the Alabama Workforc</w:t>
      </w:r>
      <w:r w:rsidR="00E76F6D">
        <w:rPr>
          <w:rFonts w:cs="Times New Roman"/>
        </w:rPr>
        <w:t>e Boards.   RTW is a job preparation</w:t>
      </w:r>
      <w:r>
        <w:rPr>
          <w:rFonts w:cs="Times New Roman"/>
        </w:rPr>
        <w:t xml:space="preserve"> training program that incorporates </w:t>
      </w:r>
      <w:r w:rsidR="00E76F6D">
        <w:rPr>
          <w:rFonts w:cs="Times New Roman"/>
        </w:rPr>
        <w:t xml:space="preserve">employability skills, blueprint reading, precision measurement, </w:t>
      </w:r>
      <w:r>
        <w:rPr>
          <w:rFonts w:cs="Times New Roman"/>
        </w:rPr>
        <w:t xml:space="preserve">financial literacy, digital literacy, </w:t>
      </w:r>
      <w:r w:rsidR="00E76F6D">
        <w:rPr>
          <w:rFonts w:cs="Times New Roman"/>
        </w:rPr>
        <w:t xml:space="preserve">graphic literacy, workplace documents, </w:t>
      </w:r>
      <w:r>
        <w:rPr>
          <w:rFonts w:cs="Times New Roman"/>
        </w:rPr>
        <w:t>and contextualized academics</w:t>
      </w:r>
      <w:r w:rsidR="00E76F6D">
        <w:rPr>
          <w:rFonts w:cs="Times New Roman"/>
        </w:rPr>
        <w:t xml:space="preserve"> such as applied mathematics</w:t>
      </w:r>
      <w:r>
        <w:rPr>
          <w:rFonts w:cs="Times New Roman"/>
        </w:rPr>
        <w:t xml:space="preserve"> to prepare adults for employment opportunities in manufacturing and beyond.  Prior to the COVID-19 pandemic, plans were in the works to build an online delivery platform for RTW.  With the onset of COVID, this plan accelerated and RTW is now available via online delivery</w:t>
      </w:r>
      <w:r w:rsidR="00BD5E26">
        <w:rPr>
          <w:rFonts w:cs="Times New Roman"/>
        </w:rPr>
        <w:t xml:space="preserve"> which</w:t>
      </w:r>
      <w:r>
        <w:rPr>
          <w:rFonts w:cs="Times New Roman"/>
        </w:rPr>
        <w:t xml:space="preserve"> has allowed students to complete the program and increase their marketability to potential employers in times when meeting face-to-face for classes was not preferred or permitted.</w:t>
      </w:r>
      <w:r w:rsidR="00E76F6D">
        <w:rPr>
          <w:rFonts w:cs="Times New Roman"/>
        </w:rPr>
        <w:t xml:space="preserve">  The online delivery has also increased access to incumbent workers that are underemployed and did not previously </w:t>
      </w:r>
      <w:r w:rsidR="007C109D">
        <w:rPr>
          <w:rFonts w:cs="Times New Roman"/>
        </w:rPr>
        <w:t xml:space="preserve">make the time to </w:t>
      </w:r>
      <w:r w:rsidR="00E76F6D">
        <w:rPr>
          <w:rFonts w:cs="Times New Roman"/>
        </w:rPr>
        <w:t xml:space="preserve">attend a face-to-face training.  </w:t>
      </w:r>
    </w:p>
    <w:p w14:paraId="4DC5B8B4" w14:textId="354BB98B" w:rsidR="00722812" w:rsidRDefault="00722812" w:rsidP="00722812">
      <w:pPr>
        <w:autoSpaceDE w:val="0"/>
        <w:autoSpaceDN w:val="0"/>
        <w:adjustRightInd w:val="0"/>
        <w:spacing w:after="0" w:line="240" w:lineRule="auto"/>
        <w:jc w:val="both"/>
        <w:rPr>
          <w:rFonts w:cs="Times New Roman"/>
        </w:rPr>
      </w:pPr>
    </w:p>
    <w:p w14:paraId="512A2781" w14:textId="77777777" w:rsidR="0096589D" w:rsidRDefault="00722812" w:rsidP="00722812">
      <w:pPr>
        <w:autoSpaceDE w:val="0"/>
        <w:autoSpaceDN w:val="0"/>
        <w:adjustRightInd w:val="0"/>
        <w:spacing w:after="0" w:line="240" w:lineRule="auto"/>
        <w:jc w:val="both"/>
      </w:pPr>
      <w:r>
        <w:lastRenderedPageBreak/>
        <w:t xml:space="preserve">Another example of collaboration between state partners to meet the objectives of the state plan is exemplified by the Memorandum of Agreement (MOA) between </w:t>
      </w:r>
      <w:r w:rsidRPr="007D3516">
        <w:t>the Alabama Departmen</w:t>
      </w:r>
      <w:r>
        <w:t xml:space="preserve">t of Human Resources (ADHR) and Alabama Community College System, Adult Education Workforce Division.  This partnership continues to provide funding for </w:t>
      </w:r>
      <w:r w:rsidRPr="007D3516">
        <w:t xml:space="preserve">integrated education and employability skills training </w:t>
      </w:r>
      <w:r>
        <w:t xml:space="preserve">opportunities </w:t>
      </w:r>
      <w:r w:rsidRPr="007D3516">
        <w:t>to the Temporary Assistance for Needy Families (TANF)</w:t>
      </w:r>
      <w:r>
        <w:t xml:space="preserve"> population. The training prepares ADHR clients for employment opportunities through the blending of academic instruction, technical training, and workforce preparation skills. ACCS and ADHR also have </w:t>
      </w:r>
    </w:p>
    <w:p w14:paraId="16B76E42" w14:textId="593A6B9C" w:rsidR="00722812" w:rsidRDefault="00722812" w:rsidP="00722812">
      <w:pPr>
        <w:autoSpaceDE w:val="0"/>
        <w:autoSpaceDN w:val="0"/>
        <w:adjustRightInd w:val="0"/>
        <w:spacing w:after="0" w:line="240" w:lineRule="auto"/>
        <w:jc w:val="both"/>
      </w:pPr>
      <w:r>
        <w:t xml:space="preserve">an agreement to serve the </w:t>
      </w:r>
      <w:r w:rsidRPr="007D3516">
        <w:t xml:space="preserve">Supplemental Nutrition Assistance Program (SNAP) clients.  The SNAP partnership </w:t>
      </w:r>
      <w:r>
        <w:t>is like the TANF partnership in that it utilizes the same training approach; however, funding is provided through a braiding of state/federal match</w:t>
      </w:r>
      <w:r w:rsidRPr="007D3516">
        <w:t xml:space="preserve">. </w:t>
      </w:r>
      <w:r>
        <w:t xml:space="preserve">The ACCS screens Adult Education students and makes reverse referrals back to ADHR for students who qualify for TANF or SNAP supportive services such as childcare, transportation, housing, and food assistance. </w:t>
      </w:r>
      <w:r w:rsidR="00737619" w:rsidRPr="007D3516">
        <w:t>All</w:t>
      </w:r>
      <w:r>
        <w:t xml:space="preserve"> </w:t>
      </w:r>
      <w:r w:rsidRPr="007D3516">
        <w:t xml:space="preserve">these initiatives are focused on </w:t>
      </w:r>
      <w:r>
        <w:t xml:space="preserve">removing barriers and providing access to </w:t>
      </w:r>
      <w:r w:rsidRPr="007D3516">
        <w:t>the academic and job training needed to attain skills and industry recognized credentials for employment</w:t>
      </w:r>
      <w:r>
        <w:t xml:space="preserve"> in the various sector areas including construction, manufacturing, healthcare, transportation, information technology, and the service industry</w:t>
      </w:r>
      <w:r w:rsidRPr="007D3516">
        <w:t>.</w:t>
      </w:r>
    </w:p>
    <w:p w14:paraId="390F749B" w14:textId="20F933CE" w:rsidR="000D144C" w:rsidRDefault="000D144C" w:rsidP="00722812">
      <w:pPr>
        <w:autoSpaceDE w:val="0"/>
        <w:autoSpaceDN w:val="0"/>
        <w:adjustRightInd w:val="0"/>
        <w:spacing w:after="0" w:line="240" w:lineRule="auto"/>
        <w:jc w:val="both"/>
      </w:pPr>
    </w:p>
    <w:p w14:paraId="35DDB817" w14:textId="08FE9555" w:rsidR="000D144C" w:rsidRDefault="000D144C" w:rsidP="000D144C">
      <w:pPr>
        <w:autoSpaceDE w:val="0"/>
        <w:autoSpaceDN w:val="0"/>
        <w:adjustRightInd w:val="0"/>
        <w:spacing w:after="0" w:line="240" w:lineRule="auto"/>
        <w:jc w:val="both"/>
        <w:rPr>
          <w:rFonts w:cs="Times New Roman"/>
        </w:rPr>
      </w:pPr>
      <w:r>
        <w:t>Leadership funds, s</w:t>
      </w:r>
      <w:r w:rsidRPr="007D3516">
        <w:t>tate funding</w:t>
      </w:r>
      <w:r>
        <w:t>,</w:t>
      </w:r>
      <w:r w:rsidRPr="007D3516">
        <w:t xml:space="preserve"> and braided resources from</w:t>
      </w:r>
      <w:r>
        <w:t xml:space="preserve"> </w:t>
      </w:r>
      <w:r w:rsidRPr="007D3516">
        <w:t>partners</w:t>
      </w:r>
      <w:r>
        <w:t xml:space="preserve"> are important for successful </w:t>
      </w:r>
      <w:r w:rsidRPr="007D3516">
        <w:t>statewide implementation</w:t>
      </w:r>
      <w:r>
        <w:t xml:space="preserve"> of workforce skills training efforts</w:t>
      </w:r>
      <w:r w:rsidRPr="007D3516">
        <w:t xml:space="preserve">.  </w:t>
      </w:r>
      <w:r>
        <w:t>The ACCS</w:t>
      </w:r>
      <w:r w:rsidRPr="007D3516">
        <w:t xml:space="preserve"> </w:t>
      </w:r>
      <w:r>
        <w:t xml:space="preserve">continues </w:t>
      </w:r>
      <w:r w:rsidRPr="007D3516">
        <w:t>to gr</w:t>
      </w:r>
      <w:r>
        <w:t>ow and enhance offerings and</w:t>
      </w:r>
      <w:r w:rsidRPr="007D3516">
        <w:t xml:space="preserve"> </w:t>
      </w:r>
      <w:r>
        <w:t>is</w:t>
      </w:r>
      <w:r w:rsidRPr="007D3516">
        <w:t xml:space="preserve"> </w:t>
      </w:r>
      <w:r>
        <w:t xml:space="preserve">encouraged by </w:t>
      </w:r>
      <w:r w:rsidRPr="007D3516">
        <w:t xml:space="preserve">current </w:t>
      </w:r>
      <w:r>
        <w:t xml:space="preserve">partnerships and </w:t>
      </w:r>
      <w:r w:rsidRPr="007D3516">
        <w:t xml:space="preserve">outcomes.  </w:t>
      </w:r>
      <w:r>
        <w:rPr>
          <w:rFonts w:cs="Times New Roman"/>
        </w:rPr>
        <w:t xml:space="preserve">Examples of enhanced efforts include the pre-apprenticeship programs that have been added to the Adult Education menu of services to help build Alabama’s workforce.  In March 2020, the Alabama Office of Apprenticeship (AOA) became the first agency in over 20 years to be recognized as a State Apprenticeship Agency by the U.S. Department of Labor.  This designation allows the AOA to create innovative pathways into registered apprenticeships, and Alabama Adult Education is working very closely with the AOA in developing and placing Adult Education students into certified pre-apprenticeships.  These pre-apprenticeships </w:t>
      </w:r>
      <w:r w:rsidR="00C574F4">
        <w:rPr>
          <w:rFonts w:cs="Times New Roman"/>
        </w:rPr>
        <w:t>include programs</w:t>
      </w:r>
      <w:r>
        <w:rPr>
          <w:rFonts w:cs="Times New Roman"/>
        </w:rPr>
        <w:t xml:space="preserve"> </w:t>
      </w:r>
      <w:r w:rsidR="007C6FD6">
        <w:rPr>
          <w:rFonts w:cs="Times New Roman"/>
        </w:rPr>
        <w:t>like pre</w:t>
      </w:r>
      <w:r>
        <w:rPr>
          <w:rFonts w:cs="Times New Roman"/>
        </w:rPr>
        <w:t xml:space="preserve">-CDL and pre-CNA, which were developed to meet statewide and regional needs for CDL drivers and nurses, and other options like pre-Industrial Maintenance, pre-Welding, and pre-Construction for students or for incumbent workers who want to earn certifications through NCCER CORE and the Manufacturing Skills Standards Council. Each pre-apprenticeship is designed to create a pathway to stackable certifications and sustainable employment for Adult Education students. </w:t>
      </w:r>
    </w:p>
    <w:p w14:paraId="29B3916E" w14:textId="058B7A96" w:rsidR="001B239C" w:rsidRDefault="001B239C" w:rsidP="000D144C">
      <w:pPr>
        <w:autoSpaceDE w:val="0"/>
        <w:autoSpaceDN w:val="0"/>
        <w:adjustRightInd w:val="0"/>
        <w:spacing w:after="0" w:line="240" w:lineRule="auto"/>
        <w:jc w:val="both"/>
        <w:rPr>
          <w:rFonts w:cs="Times New Roman"/>
        </w:rPr>
      </w:pPr>
    </w:p>
    <w:p w14:paraId="52EA6E5C" w14:textId="44121BBA" w:rsidR="001B239C" w:rsidRPr="00B12DD6" w:rsidRDefault="001B239C" w:rsidP="000D144C">
      <w:pPr>
        <w:autoSpaceDE w:val="0"/>
        <w:autoSpaceDN w:val="0"/>
        <w:adjustRightInd w:val="0"/>
        <w:spacing w:after="0" w:line="240" w:lineRule="auto"/>
        <w:jc w:val="both"/>
        <w:rPr>
          <w:rFonts w:cs="Times New Roman"/>
        </w:rPr>
      </w:pPr>
      <w:r>
        <w:rPr>
          <w:rFonts w:cs="Times New Roman"/>
        </w:rPr>
        <w:t>The Governor’s Office of Education and Workforce Transformation (GOEWT) was created in 2018.  WIOA funds have been used to support the imminent focus on non-degree quality assurance and transparency to develop a credential currency that enables Alabamians to progress through a career pathway, earning wage increases by completing a sequence of stackable credentials that denote mastery of workplace competencies aligned to occupations that are part of a career pathway.  Also, Adult Education and Family Literacy Act (AEFLA), Title II WIOA Leadership funds were braided with other WIOA funds to assist in the GOEWT’s establishment of Alabama’s Terminal on Linking and Analyzing Statistics (ATLAS) on Career Pathways, the state’s longitudinal database system, which will serve as Alabama’s Credential Registry.</w:t>
      </w:r>
    </w:p>
    <w:p w14:paraId="1A8B6AD0" w14:textId="77777777" w:rsidR="00C574F4" w:rsidRDefault="00C574F4" w:rsidP="005366BC">
      <w:pPr>
        <w:autoSpaceDE w:val="0"/>
        <w:autoSpaceDN w:val="0"/>
        <w:adjustRightInd w:val="0"/>
        <w:spacing w:after="0" w:line="240" w:lineRule="auto"/>
        <w:jc w:val="both"/>
        <w:rPr>
          <w:rFonts w:cs="Times New Roman"/>
          <w:u w:val="single"/>
        </w:rPr>
      </w:pPr>
    </w:p>
    <w:p w14:paraId="02CC539E" w14:textId="6F8040B1" w:rsidR="00357EFB" w:rsidRPr="00CA6F87" w:rsidRDefault="00CA6F87" w:rsidP="005366BC">
      <w:pPr>
        <w:autoSpaceDE w:val="0"/>
        <w:autoSpaceDN w:val="0"/>
        <w:adjustRightInd w:val="0"/>
        <w:spacing w:after="0" w:line="240" w:lineRule="auto"/>
        <w:jc w:val="both"/>
        <w:rPr>
          <w:rFonts w:cs="Times New Roman"/>
        </w:rPr>
      </w:pPr>
      <w:r w:rsidRPr="00CA6F87">
        <w:rPr>
          <w:rFonts w:cs="Times New Roman"/>
          <w:u w:val="single"/>
        </w:rPr>
        <w:t>(</w:t>
      </w:r>
      <w:r w:rsidR="005366BC" w:rsidRPr="00CA6F87">
        <w:rPr>
          <w:rFonts w:cs="Times New Roman"/>
          <w:u w:val="single"/>
        </w:rPr>
        <w:t>A.2</w:t>
      </w:r>
      <w:r w:rsidRPr="00CA6F87">
        <w:rPr>
          <w:rFonts w:cs="Times New Roman"/>
          <w:u w:val="single"/>
        </w:rPr>
        <w:t>)</w:t>
      </w:r>
      <w:r w:rsidR="005366BC" w:rsidRPr="00CA6F87">
        <w:rPr>
          <w:rFonts w:cs="Times New Roman"/>
          <w:u w:val="single"/>
        </w:rPr>
        <w:t xml:space="preserve"> </w:t>
      </w:r>
      <w:r w:rsidR="003A1445" w:rsidRPr="00CA6F87">
        <w:rPr>
          <w:rFonts w:cs="Times New Roman"/>
          <w:u w:val="single"/>
        </w:rPr>
        <w:t>Professional D</w:t>
      </w:r>
      <w:r w:rsidR="00937FEC" w:rsidRPr="00CA6F87">
        <w:rPr>
          <w:rFonts w:cs="Times New Roman"/>
          <w:u w:val="single"/>
        </w:rPr>
        <w:t>evelopment</w:t>
      </w:r>
      <w:r w:rsidR="00937FEC" w:rsidRPr="00CA6F87">
        <w:rPr>
          <w:rFonts w:cs="Times New Roman"/>
        </w:rPr>
        <w:t xml:space="preserve"> </w:t>
      </w:r>
    </w:p>
    <w:p w14:paraId="5757D3BC" w14:textId="77777777" w:rsidR="00C574F4" w:rsidRDefault="00C574F4" w:rsidP="008B5D61">
      <w:pPr>
        <w:autoSpaceDE w:val="0"/>
        <w:autoSpaceDN w:val="0"/>
        <w:adjustRightInd w:val="0"/>
        <w:spacing w:after="0" w:line="240" w:lineRule="auto"/>
        <w:jc w:val="both"/>
        <w:rPr>
          <w:rFonts w:cs="Times New Roman"/>
        </w:rPr>
      </w:pPr>
    </w:p>
    <w:p w14:paraId="2CA8624D" w14:textId="77777777" w:rsidR="00C574F4" w:rsidRDefault="00C574F4" w:rsidP="00C574F4">
      <w:pPr>
        <w:autoSpaceDE w:val="0"/>
        <w:autoSpaceDN w:val="0"/>
        <w:adjustRightInd w:val="0"/>
        <w:spacing w:after="0" w:line="240" w:lineRule="auto"/>
        <w:jc w:val="both"/>
        <w:rPr>
          <w:rFonts w:cs="Times New Roman"/>
        </w:rPr>
      </w:pPr>
      <w:r w:rsidRPr="00826415">
        <w:rPr>
          <w:rFonts w:cs="Times New Roman"/>
        </w:rPr>
        <w:t>High quality and ongoing professional development opportunities are essential</w:t>
      </w:r>
      <w:r>
        <w:rPr>
          <w:rFonts w:cs="Times New Roman"/>
        </w:rPr>
        <w:t xml:space="preserve"> to prepare instructors for the demands of the future</w:t>
      </w:r>
      <w:r w:rsidRPr="00826415">
        <w:rPr>
          <w:rFonts w:cs="Times New Roman"/>
        </w:rPr>
        <w:t xml:space="preserve">.  Practitioners must have the strategies and knowledge to prepare students with basic skills for the high school equivalency and beyond. </w:t>
      </w:r>
      <w:r>
        <w:rPr>
          <w:rFonts w:cs="Times New Roman"/>
        </w:rPr>
        <w:t xml:space="preserve">The onset of the COVID-19 pandemic initially had a negative impact </w:t>
      </w:r>
      <w:r>
        <w:rPr>
          <w:rFonts w:cs="Times New Roman"/>
        </w:rPr>
        <w:lastRenderedPageBreak/>
        <w:t xml:space="preserve">on Alabama’s plan of delivery for our HQPD in 2019-2020.  However, the silver lining was that the pandemic forced the creation of enhanced virtual opportunities for professional development and training.  Like most other states, at the onset of the pandemic, we were quickly trying to assist local programs in transitioning from face-to-face instruction to virtual instruction and taking part in as many virtual instruction webinars as possible.  We added pages of resources to our data management system resource section, and many programs became very efficient and competent with both virtual instruction and virtual proctoring of assessments utilizing a variety of virtual meeting platforms such as Zoom, FaceTime, Google Meet, GoToMeeting, and Skype. Programs also expanded or created classes in learning management platforms such as Canvas and Blackboard that provided access to class content 24 hours a day, seven days per week. Even our state professional development organization, ALAPCAE, with whom we generally partner for an annual conference, provided a virtual conference.  </w:t>
      </w:r>
    </w:p>
    <w:p w14:paraId="6E872930" w14:textId="5DA84B97" w:rsidR="00C574F4" w:rsidRDefault="00C574F4" w:rsidP="008B5D61">
      <w:pPr>
        <w:autoSpaceDE w:val="0"/>
        <w:autoSpaceDN w:val="0"/>
        <w:adjustRightInd w:val="0"/>
        <w:spacing w:after="0" w:line="240" w:lineRule="auto"/>
        <w:jc w:val="both"/>
        <w:rPr>
          <w:rFonts w:cs="Times New Roman"/>
        </w:rPr>
      </w:pPr>
    </w:p>
    <w:p w14:paraId="6F0A85CA" w14:textId="4CC410D2" w:rsidR="0096589D" w:rsidRDefault="00C574F4" w:rsidP="008B5D61">
      <w:pPr>
        <w:autoSpaceDE w:val="0"/>
        <w:autoSpaceDN w:val="0"/>
        <w:adjustRightInd w:val="0"/>
        <w:spacing w:after="0" w:line="240" w:lineRule="auto"/>
        <w:jc w:val="both"/>
        <w:rPr>
          <w:rFonts w:cs="Times New Roman"/>
        </w:rPr>
      </w:pPr>
      <w:r>
        <w:rPr>
          <w:rFonts w:cs="Times New Roman"/>
        </w:rPr>
        <w:t>While p</w:t>
      </w:r>
      <w:r w:rsidRPr="00826415">
        <w:rPr>
          <w:rFonts w:cs="Times New Roman"/>
        </w:rPr>
        <w:t xml:space="preserve">rofessional development training in Alabama </w:t>
      </w:r>
      <w:r>
        <w:rPr>
          <w:rFonts w:cs="Times New Roman"/>
        </w:rPr>
        <w:t>has traditionally been</w:t>
      </w:r>
      <w:r w:rsidRPr="00826415">
        <w:rPr>
          <w:rFonts w:cs="Times New Roman"/>
        </w:rPr>
        <w:t xml:space="preserve"> delivered through a multi-faceted approach</w:t>
      </w:r>
      <w:r>
        <w:rPr>
          <w:rFonts w:cs="Times New Roman"/>
        </w:rPr>
        <w:t xml:space="preserve">, a </w:t>
      </w:r>
      <w:r w:rsidRPr="00826415">
        <w:rPr>
          <w:rFonts w:cs="Times New Roman"/>
        </w:rPr>
        <w:t>model</w:t>
      </w:r>
      <w:r>
        <w:rPr>
          <w:rFonts w:cs="Times New Roman"/>
        </w:rPr>
        <w:t xml:space="preserve"> which </w:t>
      </w:r>
      <w:r w:rsidRPr="00826415">
        <w:rPr>
          <w:rFonts w:cs="Times New Roman"/>
        </w:rPr>
        <w:t>incorporates nationally recognized evidence-based strategies</w:t>
      </w:r>
      <w:r>
        <w:rPr>
          <w:rFonts w:cs="Times New Roman"/>
        </w:rPr>
        <w:t xml:space="preserve"> via </w:t>
      </w:r>
      <w:r w:rsidRPr="00826415">
        <w:rPr>
          <w:rFonts w:cs="Times New Roman"/>
        </w:rPr>
        <w:t xml:space="preserve">face to face, distance education, and hybrid </w:t>
      </w:r>
      <w:r>
        <w:rPr>
          <w:rFonts w:cs="Times New Roman"/>
        </w:rPr>
        <w:t xml:space="preserve">delivery formats, this year’s PD has been mainly delivered in a virtual mode. Most practitioners have responded well to the virtual reality, but some were challenged by the excessive use of </w:t>
      </w:r>
    </w:p>
    <w:p w14:paraId="1A943A13" w14:textId="7E4225EA" w:rsidR="0096589D" w:rsidRDefault="00C574F4" w:rsidP="008B5D61">
      <w:pPr>
        <w:autoSpaceDE w:val="0"/>
        <w:autoSpaceDN w:val="0"/>
        <w:adjustRightInd w:val="0"/>
        <w:spacing w:after="0" w:line="240" w:lineRule="auto"/>
        <w:jc w:val="both"/>
        <w:rPr>
          <w:rFonts w:cs="Times New Roman"/>
        </w:rPr>
      </w:pPr>
      <w:r>
        <w:rPr>
          <w:rFonts w:cs="Times New Roman"/>
        </w:rPr>
        <w:t>technology in so many new and different ways in such a rapid conversion time.  As the year has gone by, we are also sensing a “virtual weariness,” in whic</w:t>
      </w:r>
      <w:r w:rsidR="00A9591A">
        <w:rPr>
          <w:rFonts w:cs="Times New Roman"/>
        </w:rPr>
        <w:t>h the effectiveness of “distance</w:t>
      </w:r>
      <w:r>
        <w:rPr>
          <w:rFonts w:cs="Times New Roman"/>
        </w:rPr>
        <w:t xml:space="preserve"> only</w:t>
      </w:r>
      <w:r w:rsidR="00A9591A">
        <w:rPr>
          <w:rFonts w:cs="Times New Roman"/>
        </w:rPr>
        <w:t>”</w:t>
      </w:r>
      <w:r>
        <w:rPr>
          <w:rFonts w:cs="Times New Roman"/>
        </w:rPr>
        <w:t xml:space="preserve"> PD and instruction is beginning to </w:t>
      </w:r>
    </w:p>
    <w:p w14:paraId="30670DDD" w14:textId="16FD9D9C" w:rsidR="008B5D61" w:rsidRDefault="00C574F4" w:rsidP="008B5D61">
      <w:pPr>
        <w:autoSpaceDE w:val="0"/>
        <w:autoSpaceDN w:val="0"/>
        <w:adjustRightInd w:val="0"/>
        <w:spacing w:after="0" w:line="240" w:lineRule="auto"/>
        <w:jc w:val="both"/>
        <w:rPr>
          <w:rFonts w:cs="Times New Roman"/>
        </w:rPr>
      </w:pPr>
      <w:r>
        <w:rPr>
          <w:rFonts w:cs="Times New Roman"/>
        </w:rPr>
        <w:t xml:space="preserve">wane.  It is becoming obvious through this experience, that a PD approach which is multi-faceted in delivery is the preferred approach. </w:t>
      </w:r>
      <w:r w:rsidR="008B5D61">
        <w:rPr>
          <w:rFonts w:cs="Times New Roman"/>
        </w:rPr>
        <w:t xml:space="preserve">  </w:t>
      </w:r>
    </w:p>
    <w:p w14:paraId="58F355AA" w14:textId="77777777" w:rsidR="000E58CA" w:rsidRPr="00826415" w:rsidRDefault="000E58CA" w:rsidP="00211AB0">
      <w:pPr>
        <w:autoSpaceDE w:val="0"/>
        <w:autoSpaceDN w:val="0"/>
        <w:adjustRightInd w:val="0"/>
        <w:spacing w:after="0" w:line="240" w:lineRule="auto"/>
        <w:jc w:val="both"/>
        <w:rPr>
          <w:rFonts w:cs="Times New Roman"/>
        </w:rPr>
      </w:pPr>
    </w:p>
    <w:p w14:paraId="65E8FBC5" w14:textId="4AB58590" w:rsidR="00C574F4" w:rsidRPr="00826415" w:rsidRDefault="00C574F4" w:rsidP="00C574F4">
      <w:pPr>
        <w:autoSpaceDE w:val="0"/>
        <w:autoSpaceDN w:val="0"/>
        <w:adjustRightInd w:val="0"/>
        <w:spacing w:after="0" w:line="240" w:lineRule="auto"/>
        <w:jc w:val="both"/>
        <w:rPr>
          <w:rFonts w:cs="Times New Roman"/>
        </w:rPr>
      </w:pPr>
      <w:r>
        <w:rPr>
          <w:rFonts w:cs="Times New Roman"/>
        </w:rPr>
        <w:t>Leadership funds were used</w:t>
      </w:r>
      <w:r w:rsidR="00A9591A">
        <w:rPr>
          <w:rFonts w:cs="Times New Roman"/>
        </w:rPr>
        <w:t xml:space="preserve"> and will continue to be used</w:t>
      </w:r>
      <w:r>
        <w:rPr>
          <w:rFonts w:cs="Times New Roman"/>
        </w:rPr>
        <w:t xml:space="preserve"> to support </w:t>
      </w:r>
      <w:r w:rsidRPr="00826415">
        <w:rPr>
          <w:rFonts w:cs="Times New Roman"/>
        </w:rPr>
        <w:t>professional develo</w:t>
      </w:r>
      <w:r>
        <w:rPr>
          <w:rFonts w:cs="Times New Roman"/>
        </w:rPr>
        <w:t>pment in the following area(s):</w:t>
      </w:r>
    </w:p>
    <w:p w14:paraId="360F8EB5" w14:textId="1C11CB0A" w:rsidR="00C574F4" w:rsidRDefault="00C574F4" w:rsidP="00C574F4">
      <w:pPr>
        <w:autoSpaceDE w:val="0"/>
        <w:autoSpaceDN w:val="0"/>
        <w:adjustRightInd w:val="0"/>
        <w:spacing w:after="0" w:line="240" w:lineRule="auto"/>
        <w:jc w:val="both"/>
        <w:rPr>
          <w:rFonts w:cs="Times New Roman"/>
        </w:rPr>
      </w:pPr>
    </w:p>
    <w:p w14:paraId="2D8323C2" w14:textId="77777777" w:rsidR="00C574F4" w:rsidRPr="000B4223" w:rsidRDefault="00C574F4" w:rsidP="00C574F4">
      <w:pPr>
        <w:spacing w:after="0"/>
        <w:jc w:val="both"/>
        <w:rPr>
          <w:i/>
          <w:iCs/>
          <w:sz w:val="18"/>
          <w:szCs w:val="18"/>
        </w:rPr>
      </w:pPr>
      <w:r>
        <w:rPr>
          <w:i/>
          <w:iCs/>
          <w:sz w:val="18"/>
          <w:szCs w:val="18"/>
        </w:rPr>
        <w:t>Academic Bridge Preparation</w:t>
      </w:r>
      <w:r w:rsidRPr="009E30D1">
        <w:rPr>
          <w:i/>
          <w:iCs/>
          <w:sz w:val="18"/>
          <w:szCs w:val="18"/>
        </w:rPr>
        <w:t xml:space="preserve"> Programs</w:t>
      </w:r>
      <w:r>
        <w:rPr>
          <w:i/>
          <w:iCs/>
          <w:sz w:val="18"/>
          <w:szCs w:val="18"/>
        </w:rPr>
        <w:t xml:space="preserve"> </w:t>
      </w:r>
      <w:r>
        <w:rPr>
          <w:i/>
          <w:iCs/>
          <w:sz w:val="18"/>
          <w:szCs w:val="18"/>
        </w:rPr>
        <w:tab/>
      </w:r>
      <w:r>
        <w:rPr>
          <w:i/>
          <w:iCs/>
          <w:sz w:val="18"/>
          <w:szCs w:val="18"/>
        </w:rPr>
        <w:tab/>
      </w:r>
      <w:r>
        <w:rPr>
          <w:i/>
          <w:iCs/>
          <w:sz w:val="18"/>
          <w:szCs w:val="18"/>
        </w:rPr>
        <w:tab/>
      </w:r>
      <w:r w:rsidRPr="009E30D1">
        <w:rPr>
          <w:i/>
          <w:iCs/>
          <w:sz w:val="18"/>
          <w:szCs w:val="18"/>
        </w:rPr>
        <w:t>Workforce Innovation and Opportunity Act (WIOA)</w:t>
      </w:r>
    </w:p>
    <w:p w14:paraId="1AFF9455" w14:textId="77777777" w:rsidR="00C574F4" w:rsidRPr="009E30D1" w:rsidRDefault="00C574F4" w:rsidP="00C574F4">
      <w:pPr>
        <w:spacing w:after="0"/>
        <w:jc w:val="both"/>
        <w:rPr>
          <w:sz w:val="18"/>
          <w:szCs w:val="18"/>
        </w:rPr>
      </w:pPr>
      <w:r w:rsidRPr="009E30D1">
        <w:rPr>
          <w:i/>
          <w:iCs/>
          <w:sz w:val="18"/>
          <w:szCs w:val="18"/>
        </w:rPr>
        <w:t xml:space="preserve">Co-Enrollment </w:t>
      </w:r>
      <w:r>
        <w:rPr>
          <w:i/>
          <w:iCs/>
          <w:sz w:val="18"/>
          <w:szCs w:val="18"/>
        </w:rPr>
        <w:t xml:space="preserve">IET </w:t>
      </w:r>
      <w:r w:rsidRPr="009E30D1">
        <w:rPr>
          <w:i/>
          <w:iCs/>
          <w:sz w:val="18"/>
          <w:szCs w:val="18"/>
        </w:rPr>
        <w:t>Activities (AE and Technical Skills)</w:t>
      </w:r>
      <w:r w:rsidRPr="009E30D1">
        <w:rPr>
          <w:i/>
          <w:iCs/>
          <w:sz w:val="18"/>
          <w:szCs w:val="18"/>
        </w:rPr>
        <w:tab/>
      </w:r>
      <w:r>
        <w:rPr>
          <w:i/>
          <w:iCs/>
          <w:sz w:val="18"/>
          <w:szCs w:val="18"/>
        </w:rPr>
        <w:tab/>
      </w:r>
      <w:r w:rsidRPr="009E30D1">
        <w:rPr>
          <w:i/>
          <w:iCs/>
          <w:sz w:val="18"/>
          <w:szCs w:val="18"/>
        </w:rPr>
        <w:t>Alabama Career Centers and Regional Councils</w:t>
      </w:r>
    </w:p>
    <w:p w14:paraId="59EA45F6" w14:textId="77777777" w:rsidR="00C574F4" w:rsidRPr="009E30D1" w:rsidRDefault="00C574F4" w:rsidP="00C574F4">
      <w:pPr>
        <w:spacing w:after="0"/>
        <w:jc w:val="both"/>
        <w:rPr>
          <w:sz w:val="18"/>
          <w:szCs w:val="18"/>
        </w:rPr>
      </w:pPr>
      <w:r>
        <w:rPr>
          <w:i/>
          <w:iCs/>
          <w:sz w:val="18"/>
          <w:szCs w:val="18"/>
        </w:rPr>
        <w:t xml:space="preserve">Career Pathways &amp; </w:t>
      </w:r>
      <w:r w:rsidRPr="009E30D1">
        <w:rPr>
          <w:i/>
          <w:iCs/>
          <w:sz w:val="18"/>
          <w:szCs w:val="18"/>
        </w:rPr>
        <w:t>Contextualiz</w:t>
      </w:r>
      <w:r>
        <w:rPr>
          <w:i/>
          <w:iCs/>
          <w:sz w:val="18"/>
          <w:szCs w:val="18"/>
        </w:rPr>
        <w:t>ed</w:t>
      </w:r>
      <w:r w:rsidRPr="009E30D1">
        <w:rPr>
          <w:i/>
          <w:iCs/>
          <w:sz w:val="18"/>
          <w:szCs w:val="18"/>
        </w:rPr>
        <w:t xml:space="preserve"> Instruction</w:t>
      </w:r>
      <w:r w:rsidRPr="009E30D1">
        <w:rPr>
          <w:i/>
          <w:iCs/>
          <w:sz w:val="18"/>
          <w:szCs w:val="18"/>
        </w:rPr>
        <w:tab/>
      </w:r>
      <w:r w:rsidRPr="009E30D1">
        <w:rPr>
          <w:i/>
          <w:iCs/>
          <w:sz w:val="18"/>
          <w:szCs w:val="18"/>
        </w:rPr>
        <w:tab/>
      </w:r>
      <w:r w:rsidRPr="009E30D1">
        <w:rPr>
          <w:i/>
          <w:iCs/>
          <w:sz w:val="18"/>
          <w:szCs w:val="18"/>
        </w:rPr>
        <w:tab/>
        <w:t>“</w:t>
      </w:r>
      <w:r>
        <w:rPr>
          <w:i/>
          <w:iCs/>
          <w:sz w:val="18"/>
          <w:szCs w:val="18"/>
        </w:rPr>
        <w:t xml:space="preserve">Workforce </w:t>
      </w:r>
      <w:r w:rsidRPr="009E30D1">
        <w:rPr>
          <w:i/>
          <w:iCs/>
          <w:sz w:val="18"/>
          <w:szCs w:val="18"/>
        </w:rPr>
        <w:t>Essential Skills” Soft Skills/Employability Skills</w:t>
      </w:r>
    </w:p>
    <w:p w14:paraId="0B8ADA58" w14:textId="7E0809ED" w:rsidR="00C574F4" w:rsidRPr="009E30D1" w:rsidRDefault="00C574F4" w:rsidP="00C574F4">
      <w:pPr>
        <w:spacing w:after="0"/>
        <w:jc w:val="both"/>
        <w:rPr>
          <w:sz w:val="18"/>
          <w:szCs w:val="18"/>
        </w:rPr>
      </w:pPr>
      <w:r w:rsidRPr="009E30D1">
        <w:rPr>
          <w:i/>
          <w:iCs/>
          <w:sz w:val="18"/>
          <w:szCs w:val="18"/>
        </w:rPr>
        <w:t>Data Management System Webinars- monthly Series</w:t>
      </w:r>
      <w:r w:rsidRPr="009E30D1">
        <w:rPr>
          <w:i/>
          <w:iCs/>
          <w:sz w:val="18"/>
          <w:szCs w:val="18"/>
        </w:rPr>
        <w:tab/>
      </w:r>
      <w:r w:rsidRPr="009E30D1">
        <w:rPr>
          <w:i/>
          <w:iCs/>
          <w:sz w:val="18"/>
          <w:szCs w:val="18"/>
        </w:rPr>
        <w:tab/>
        <w:t>Corrections/Institutionalized Classes</w:t>
      </w:r>
    </w:p>
    <w:p w14:paraId="68E70BA0" w14:textId="0089F7BF" w:rsidR="00C574F4" w:rsidRPr="009E30D1" w:rsidRDefault="00C574F4" w:rsidP="00C574F4">
      <w:pPr>
        <w:spacing w:after="0"/>
        <w:jc w:val="both"/>
        <w:rPr>
          <w:sz w:val="18"/>
          <w:szCs w:val="18"/>
        </w:rPr>
      </w:pPr>
      <w:r w:rsidRPr="009E30D1">
        <w:rPr>
          <w:i/>
          <w:iCs/>
          <w:sz w:val="18"/>
          <w:szCs w:val="18"/>
        </w:rPr>
        <w:t>Technology Integration into classroom instruction</w:t>
      </w:r>
      <w:r w:rsidRPr="009E30D1">
        <w:rPr>
          <w:i/>
          <w:iCs/>
          <w:sz w:val="18"/>
          <w:szCs w:val="18"/>
        </w:rPr>
        <w:tab/>
      </w:r>
      <w:r w:rsidRPr="009E30D1">
        <w:rPr>
          <w:i/>
          <w:iCs/>
          <w:sz w:val="18"/>
          <w:szCs w:val="18"/>
        </w:rPr>
        <w:tab/>
        <w:t>Integrated English Literacy Civics Education</w:t>
      </w:r>
    </w:p>
    <w:p w14:paraId="1A1F5DB5" w14:textId="30D1C599" w:rsidR="00C574F4" w:rsidRPr="00A9591A" w:rsidRDefault="00C574F4" w:rsidP="00C574F4">
      <w:pPr>
        <w:spacing w:after="0"/>
        <w:jc w:val="both"/>
        <w:rPr>
          <w:sz w:val="18"/>
          <w:szCs w:val="18"/>
        </w:rPr>
      </w:pPr>
      <w:r>
        <w:rPr>
          <w:i/>
          <w:iCs/>
          <w:sz w:val="18"/>
          <w:szCs w:val="18"/>
        </w:rPr>
        <w:t xml:space="preserve">Virtual </w:t>
      </w:r>
      <w:r w:rsidRPr="009E30D1">
        <w:rPr>
          <w:i/>
          <w:iCs/>
          <w:sz w:val="18"/>
          <w:szCs w:val="18"/>
        </w:rPr>
        <w:t>Distance Education</w:t>
      </w:r>
      <w:r>
        <w:rPr>
          <w:sz w:val="18"/>
          <w:szCs w:val="18"/>
        </w:rPr>
        <w:tab/>
      </w:r>
      <w:r>
        <w:rPr>
          <w:sz w:val="18"/>
          <w:szCs w:val="18"/>
        </w:rPr>
        <w:tab/>
      </w:r>
      <w:r w:rsidRPr="009E30D1">
        <w:rPr>
          <w:i/>
          <w:iCs/>
          <w:sz w:val="18"/>
          <w:szCs w:val="18"/>
        </w:rPr>
        <w:tab/>
      </w:r>
      <w:r w:rsidRPr="009E30D1">
        <w:rPr>
          <w:i/>
          <w:iCs/>
          <w:sz w:val="18"/>
          <w:szCs w:val="18"/>
        </w:rPr>
        <w:tab/>
      </w:r>
      <w:r w:rsidRPr="009E30D1">
        <w:rPr>
          <w:i/>
          <w:iCs/>
          <w:sz w:val="18"/>
          <w:szCs w:val="18"/>
        </w:rPr>
        <w:tab/>
        <w:t>GED® Preparation CCR Standards</w:t>
      </w:r>
      <w:r w:rsidRPr="009E30D1">
        <w:tab/>
      </w:r>
      <w:r w:rsidRPr="009E30D1">
        <w:tab/>
      </w:r>
      <w:r w:rsidRPr="009E30D1">
        <w:tab/>
      </w:r>
      <w:r w:rsidRPr="009E30D1">
        <w:tab/>
      </w:r>
    </w:p>
    <w:p w14:paraId="2060D7B3" w14:textId="77777777" w:rsidR="00C574F4" w:rsidRPr="00C574F4" w:rsidRDefault="00C574F4" w:rsidP="00BB2287">
      <w:pPr>
        <w:spacing w:after="0"/>
        <w:jc w:val="both"/>
        <w:rPr>
          <w:sz w:val="18"/>
          <w:szCs w:val="18"/>
        </w:rPr>
      </w:pPr>
    </w:p>
    <w:p w14:paraId="4C719F0D" w14:textId="4990857A" w:rsidR="00C574F4" w:rsidRPr="00D93D8D" w:rsidRDefault="00C574F4" w:rsidP="00C574F4">
      <w:pPr>
        <w:autoSpaceDE w:val="0"/>
        <w:autoSpaceDN w:val="0"/>
        <w:adjustRightInd w:val="0"/>
        <w:spacing w:after="0" w:line="240" w:lineRule="auto"/>
        <w:jc w:val="both"/>
        <w:rPr>
          <w:rFonts w:cs="Times New Roman"/>
        </w:rPr>
      </w:pPr>
      <w:r>
        <w:rPr>
          <w:rFonts w:cs="Times New Roman"/>
        </w:rPr>
        <w:t>Alabama Adult Education</w:t>
      </w:r>
      <w:r w:rsidR="00D24707">
        <w:rPr>
          <w:rFonts w:cs="Times New Roman"/>
        </w:rPr>
        <w:t xml:space="preserve"> practitioners participated in n</w:t>
      </w:r>
      <w:r>
        <w:rPr>
          <w:rFonts w:cs="Times New Roman"/>
        </w:rPr>
        <w:t>ational virtual c</w:t>
      </w:r>
      <w:r w:rsidRPr="009E30D1">
        <w:rPr>
          <w:rFonts w:cs="Times New Roman"/>
        </w:rPr>
        <w:t>onference</w:t>
      </w:r>
      <w:r>
        <w:rPr>
          <w:rFonts w:cs="Times New Roman"/>
        </w:rPr>
        <w:t>s</w:t>
      </w:r>
      <w:r w:rsidR="00D24707">
        <w:rPr>
          <w:rFonts w:cs="Times New Roman"/>
        </w:rPr>
        <w:t>/institutes</w:t>
      </w:r>
      <w:r>
        <w:rPr>
          <w:rFonts w:cs="Times New Roman"/>
        </w:rPr>
        <w:t xml:space="preserve"> such as COABE, </w:t>
      </w:r>
      <w:r w:rsidR="00D24707">
        <w:rPr>
          <w:rFonts w:cs="Times New Roman"/>
        </w:rPr>
        <w:t>NCPN, and</w:t>
      </w:r>
      <w:r>
        <w:rPr>
          <w:rFonts w:cs="Times New Roman"/>
        </w:rPr>
        <w:t xml:space="preserve"> NASDAE’s NTI</w:t>
      </w:r>
      <w:r w:rsidR="002D0A68">
        <w:rPr>
          <w:rFonts w:cs="Times New Roman"/>
        </w:rPr>
        <w:t>,</w:t>
      </w:r>
      <w:r w:rsidR="00D24707">
        <w:rPr>
          <w:rFonts w:cs="Times New Roman"/>
        </w:rPr>
        <w:t xml:space="preserve"> as well as</w:t>
      </w:r>
      <w:r>
        <w:rPr>
          <w:rFonts w:cs="Times New Roman"/>
        </w:rPr>
        <w:t xml:space="preserve"> other virtual trainings.  </w:t>
      </w:r>
      <w:r w:rsidR="00D24707">
        <w:rPr>
          <w:rFonts w:cs="Times New Roman"/>
        </w:rPr>
        <w:t xml:space="preserve">Among the other virtual trainings were the state ALAPCAE conference and the Alabama Workforce Virtual Conference.   </w:t>
      </w:r>
      <w:r>
        <w:rPr>
          <w:rFonts w:cs="Times New Roman"/>
        </w:rPr>
        <w:t xml:space="preserve">There were some face-to-face trainings attended pre-COVID, including </w:t>
      </w:r>
      <w:r w:rsidR="00D24707">
        <w:rPr>
          <w:rFonts w:cs="Times New Roman"/>
        </w:rPr>
        <w:t xml:space="preserve">the </w:t>
      </w:r>
      <w:r>
        <w:rPr>
          <w:rFonts w:cs="Times New Roman"/>
        </w:rPr>
        <w:t>New State Directors Training.</w:t>
      </w:r>
      <w:r w:rsidRPr="00D93D8D">
        <w:rPr>
          <w:rFonts w:cs="Times New Roman"/>
        </w:rPr>
        <w:t xml:space="preserve"> </w:t>
      </w:r>
      <w:r>
        <w:rPr>
          <w:rFonts w:cs="Times New Roman"/>
        </w:rPr>
        <w:t xml:space="preserve"> </w:t>
      </w:r>
    </w:p>
    <w:p w14:paraId="09D64B5B" w14:textId="5F767797" w:rsidR="00CE206F" w:rsidRPr="009E30D1" w:rsidRDefault="00C574F4" w:rsidP="00C574F4">
      <w:pPr>
        <w:tabs>
          <w:tab w:val="left" w:pos="990"/>
        </w:tabs>
        <w:spacing w:after="0"/>
        <w:jc w:val="both"/>
        <w:rPr>
          <w:rFonts w:cs="Times New Roman"/>
          <w:sz w:val="18"/>
          <w:szCs w:val="18"/>
        </w:rPr>
      </w:pPr>
      <w:r>
        <w:tab/>
      </w:r>
      <w:r w:rsidR="00CE206F" w:rsidRPr="009E30D1">
        <w:tab/>
      </w:r>
      <w:r w:rsidR="00CE206F" w:rsidRPr="009E30D1">
        <w:tab/>
      </w:r>
      <w:r w:rsidR="00CE206F" w:rsidRPr="009E30D1">
        <w:tab/>
      </w:r>
    </w:p>
    <w:p w14:paraId="68FB4DD5" w14:textId="77777777" w:rsidR="006700CF" w:rsidRPr="00CA6F87" w:rsidRDefault="00CA6F87" w:rsidP="00211AB0">
      <w:pPr>
        <w:autoSpaceDE w:val="0"/>
        <w:autoSpaceDN w:val="0"/>
        <w:adjustRightInd w:val="0"/>
        <w:spacing w:after="0" w:line="240" w:lineRule="auto"/>
        <w:jc w:val="both"/>
        <w:rPr>
          <w:rFonts w:cs="Times New Roman"/>
          <w:u w:val="single"/>
        </w:rPr>
      </w:pPr>
      <w:r w:rsidRPr="00CA6F87">
        <w:rPr>
          <w:rFonts w:cs="Times New Roman"/>
          <w:u w:val="single"/>
        </w:rPr>
        <w:t>(</w:t>
      </w:r>
      <w:r w:rsidR="005366BC" w:rsidRPr="00CA6F87">
        <w:rPr>
          <w:rFonts w:cs="Times New Roman"/>
          <w:u w:val="single"/>
        </w:rPr>
        <w:t>A.3</w:t>
      </w:r>
      <w:r w:rsidRPr="00CA6F87">
        <w:rPr>
          <w:rFonts w:cs="Times New Roman"/>
          <w:u w:val="single"/>
        </w:rPr>
        <w:t>)</w:t>
      </w:r>
      <w:r w:rsidR="005366BC" w:rsidRPr="00CA6F87">
        <w:rPr>
          <w:rFonts w:cs="Times New Roman"/>
          <w:u w:val="single"/>
        </w:rPr>
        <w:t xml:space="preserve"> </w:t>
      </w:r>
      <w:r w:rsidR="00357EFB" w:rsidRPr="00CA6F87">
        <w:rPr>
          <w:rFonts w:cs="Times New Roman"/>
          <w:u w:val="single"/>
        </w:rPr>
        <w:t>Technical A</w:t>
      </w:r>
      <w:r w:rsidR="00937FEC" w:rsidRPr="00CA6F87">
        <w:rPr>
          <w:rFonts w:cs="Times New Roman"/>
          <w:u w:val="single"/>
        </w:rPr>
        <w:t>ssistance</w:t>
      </w:r>
    </w:p>
    <w:p w14:paraId="07322311" w14:textId="77777777" w:rsidR="00C574F4" w:rsidRDefault="00C574F4" w:rsidP="00211AB0">
      <w:pPr>
        <w:autoSpaceDE w:val="0"/>
        <w:autoSpaceDN w:val="0"/>
        <w:adjustRightInd w:val="0"/>
        <w:spacing w:after="0" w:line="240" w:lineRule="auto"/>
        <w:jc w:val="both"/>
        <w:rPr>
          <w:rFonts w:cs="Times New Roman"/>
        </w:rPr>
      </w:pPr>
    </w:p>
    <w:p w14:paraId="7AA5B1AE" w14:textId="7301D119" w:rsidR="00C574F4" w:rsidRDefault="00C574F4" w:rsidP="00211AB0">
      <w:pPr>
        <w:autoSpaceDE w:val="0"/>
        <w:autoSpaceDN w:val="0"/>
        <w:adjustRightInd w:val="0"/>
        <w:spacing w:after="0" w:line="240" w:lineRule="auto"/>
        <w:jc w:val="both"/>
        <w:rPr>
          <w:rFonts w:cs="Times New Roman"/>
        </w:rPr>
      </w:pPr>
      <w:r>
        <w:rPr>
          <w:rFonts w:cs="Times New Roman"/>
        </w:rPr>
        <w:t xml:space="preserve">Alabama Adult Education is dedicated to continuous program improvement and strives to provide technical assistance support in various forms.  To increase program improvement in the 2019-20 program year, Alabama AE implemented a more defined regional approach to TA by employing and assigning three AE staff members as Regional Area Directors in the northern, central, and southern parts of the state.  The goal was for the regional directors to “roll-up their sleeves” and work intensely with local providers, identifying areas of need and applying best practices to facilitate continuous program improvement.  </w:t>
      </w:r>
    </w:p>
    <w:p w14:paraId="27BF8FE3" w14:textId="77777777" w:rsidR="00121B8C" w:rsidRDefault="00121B8C" w:rsidP="00211AB0">
      <w:pPr>
        <w:autoSpaceDE w:val="0"/>
        <w:autoSpaceDN w:val="0"/>
        <w:adjustRightInd w:val="0"/>
        <w:spacing w:after="0" w:line="240" w:lineRule="auto"/>
        <w:jc w:val="both"/>
        <w:rPr>
          <w:rFonts w:cs="Times New Roman"/>
        </w:rPr>
      </w:pPr>
    </w:p>
    <w:p w14:paraId="3090A1B6" w14:textId="7E00B5D7" w:rsidR="0014455C" w:rsidRPr="007D3516" w:rsidRDefault="00121B8C" w:rsidP="00211AB0">
      <w:pPr>
        <w:autoSpaceDE w:val="0"/>
        <w:autoSpaceDN w:val="0"/>
        <w:adjustRightInd w:val="0"/>
        <w:spacing w:after="0" w:line="240" w:lineRule="auto"/>
        <w:jc w:val="both"/>
        <w:rPr>
          <w:rFonts w:cs="Times New Roman"/>
        </w:rPr>
      </w:pPr>
      <w:r>
        <w:rPr>
          <w:rFonts w:cs="Times New Roman"/>
        </w:rPr>
        <w:lastRenderedPageBreak/>
        <w:t>In addition, the State Staff Team continues to provide t</w:t>
      </w:r>
      <w:r w:rsidR="00E93586" w:rsidRPr="007D3516">
        <w:rPr>
          <w:rFonts w:cs="Times New Roman"/>
        </w:rPr>
        <w:t xml:space="preserve">echnical assistance through </w:t>
      </w:r>
      <w:r w:rsidR="00962756">
        <w:rPr>
          <w:rFonts w:cs="Times New Roman"/>
        </w:rPr>
        <w:t xml:space="preserve">face to face (F2F) </w:t>
      </w:r>
      <w:r w:rsidR="00E93586" w:rsidRPr="007D3516">
        <w:rPr>
          <w:rFonts w:cs="Times New Roman"/>
        </w:rPr>
        <w:t>trainings, webinars, emails, phone calls, and</w:t>
      </w:r>
      <w:r w:rsidR="00AB0D05" w:rsidRPr="007D3516">
        <w:rPr>
          <w:rFonts w:cs="Times New Roman"/>
        </w:rPr>
        <w:t xml:space="preserve"> </w:t>
      </w:r>
      <w:r w:rsidR="00E93586" w:rsidRPr="007D3516">
        <w:rPr>
          <w:rFonts w:cs="Times New Roman"/>
        </w:rPr>
        <w:t>teleconferences.</w:t>
      </w:r>
      <w:r w:rsidR="00761599">
        <w:rPr>
          <w:rFonts w:cs="Times New Roman"/>
        </w:rPr>
        <w:t xml:space="preserve">  </w:t>
      </w:r>
      <w:r w:rsidR="00962756">
        <w:rPr>
          <w:rFonts w:cs="Times New Roman"/>
        </w:rPr>
        <w:t xml:space="preserve">A </w:t>
      </w:r>
      <w:r w:rsidR="0014455C" w:rsidRPr="007D3516">
        <w:rPr>
          <w:rFonts w:cs="Times New Roman"/>
        </w:rPr>
        <w:t>bi-</w:t>
      </w:r>
      <w:r w:rsidR="00811C8A">
        <w:rPr>
          <w:rFonts w:cs="Times New Roman"/>
        </w:rPr>
        <w:t>weekly</w:t>
      </w:r>
      <w:r w:rsidR="0014455C" w:rsidRPr="007D3516">
        <w:rPr>
          <w:rFonts w:cs="Times New Roman"/>
        </w:rPr>
        <w:t xml:space="preserve"> webinar series for programs called “Sp</w:t>
      </w:r>
      <w:r w:rsidR="00EA05CA">
        <w:rPr>
          <w:rFonts w:cs="Times New Roman"/>
        </w:rPr>
        <w:t>otlight”</w:t>
      </w:r>
      <w:r>
        <w:rPr>
          <w:rFonts w:cs="Times New Roman"/>
        </w:rPr>
        <w:t xml:space="preserve"> was</w:t>
      </w:r>
      <w:r w:rsidR="00962756">
        <w:rPr>
          <w:rFonts w:cs="Times New Roman"/>
        </w:rPr>
        <w:t xml:space="preserve"> a constant</w:t>
      </w:r>
      <w:r>
        <w:rPr>
          <w:rFonts w:cs="Times New Roman"/>
        </w:rPr>
        <w:t xml:space="preserve"> over the last year.</w:t>
      </w:r>
      <w:r w:rsidR="0014455C" w:rsidRPr="007D3516">
        <w:rPr>
          <w:rFonts w:cs="Times New Roman"/>
        </w:rPr>
        <w:t xml:space="preserve">  This</w:t>
      </w:r>
      <w:r w:rsidR="00962756">
        <w:rPr>
          <w:rFonts w:cs="Times New Roman"/>
        </w:rPr>
        <w:t xml:space="preserve"> PD</w:t>
      </w:r>
      <w:r w:rsidR="00962756" w:rsidRPr="007D3516">
        <w:rPr>
          <w:rFonts w:cs="Times New Roman"/>
        </w:rPr>
        <w:t xml:space="preserve"> opportunity</w:t>
      </w:r>
      <w:r w:rsidR="0014455C" w:rsidRPr="007D3516">
        <w:rPr>
          <w:rFonts w:cs="Times New Roman"/>
        </w:rPr>
        <w:t xml:space="preserve"> highlight</w:t>
      </w:r>
      <w:r>
        <w:rPr>
          <w:rFonts w:cs="Times New Roman"/>
        </w:rPr>
        <w:t>ed</w:t>
      </w:r>
      <w:r w:rsidR="0014455C" w:rsidRPr="007D3516">
        <w:rPr>
          <w:rFonts w:cs="Times New Roman"/>
        </w:rPr>
        <w:t xml:space="preserve"> and discuss</w:t>
      </w:r>
      <w:r>
        <w:rPr>
          <w:rFonts w:cs="Times New Roman"/>
        </w:rPr>
        <w:t>ed</w:t>
      </w:r>
      <w:r w:rsidR="0014455C" w:rsidRPr="007D3516">
        <w:rPr>
          <w:rFonts w:cs="Times New Roman"/>
        </w:rPr>
        <w:t xml:space="preserve"> topics and best practices re</w:t>
      </w:r>
      <w:r w:rsidR="001439DC">
        <w:rPr>
          <w:rFonts w:cs="Times New Roman"/>
        </w:rPr>
        <w:t xml:space="preserve">levant to </w:t>
      </w:r>
      <w:r w:rsidR="0014455C" w:rsidRPr="007D3516">
        <w:rPr>
          <w:rFonts w:cs="Times New Roman"/>
        </w:rPr>
        <w:t>the local programs.  The state use</w:t>
      </w:r>
      <w:r>
        <w:rPr>
          <w:rFonts w:cs="Times New Roman"/>
        </w:rPr>
        <w:t>d</w:t>
      </w:r>
      <w:r w:rsidR="0014455C" w:rsidRPr="007D3516">
        <w:rPr>
          <w:rFonts w:cs="Times New Roman"/>
        </w:rPr>
        <w:t xml:space="preserve"> the forum to disseminate </w:t>
      </w:r>
      <w:r w:rsidR="000B5C32">
        <w:rPr>
          <w:rFonts w:cs="Times New Roman"/>
        </w:rPr>
        <w:t xml:space="preserve">policy, regulations, innovative </w:t>
      </w:r>
      <w:r w:rsidR="00761599">
        <w:rPr>
          <w:rFonts w:cs="Times New Roman"/>
        </w:rPr>
        <w:t xml:space="preserve">instructional </w:t>
      </w:r>
      <w:r w:rsidR="00737619">
        <w:rPr>
          <w:rFonts w:cs="Times New Roman"/>
        </w:rPr>
        <w:t>strategies,</w:t>
      </w:r>
      <w:r w:rsidR="00761599">
        <w:rPr>
          <w:rFonts w:cs="Times New Roman"/>
        </w:rPr>
        <w:t xml:space="preserve"> and resources from </w:t>
      </w:r>
      <w:r w:rsidR="0014455C" w:rsidRPr="007D3516">
        <w:rPr>
          <w:rFonts w:cs="Times New Roman"/>
        </w:rPr>
        <w:t xml:space="preserve">a </w:t>
      </w:r>
      <w:r w:rsidR="001439DC">
        <w:rPr>
          <w:rFonts w:cs="Times New Roman"/>
        </w:rPr>
        <w:t>nation</w:t>
      </w:r>
      <w:r w:rsidR="000B5C32">
        <w:rPr>
          <w:rFonts w:cs="Times New Roman"/>
        </w:rPr>
        <w:t>al, state, and local level</w:t>
      </w:r>
      <w:r w:rsidR="0014455C" w:rsidRPr="007D3516">
        <w:rPr>
          <w:rFonts w:cs="Times New Roman"/>
        </w:rPr>
        <w:t xml:space="preserve">.  </w:t>
      </w:r>
      <w:r w:rsidR="008418AE" w:rsidRPr="007D3516">
        <w:rPr>
          <w:rFonts w:cs="Times New Roman"/>
        </w:rPr>
        <w:t xml:space="preserve">Questions </w:t>
      </w:r>
      <w:r>
        <w:rPr>
          <w:rFonts w:cs="Times New Roman"/>
        </w:rPr>
        <w:t>were</w:t>
      </w:r>
      <w:r w:rsidR="008418AE" w:rsidRPr="007D3516">
        <w:rPr>
          <w:rFonts w:cs="Times New Roman"/>
        </w:rPr>
        <w:t xml:space="preserve"> asked verbal</w:t>
      </w:r>
      <w:r w:rsidR="001439DC">
        <w:rPr>
          <w:rFonts w:cs="Times New Roman"/>
        </w:rPr>
        <w:t>ly or through the chat feature</w:t>
      </w:r>
      <w:r w:rsidR="008418AE" w:rsidRPr="007D3516">
        <w:rPr>
          <w:rFonts w:cs="Times New Roman"/>
        </w:rPr>
        <w:t xml:space="preserve">.  The Spotlight series </w:t>
      </w:r>
      <w:r>
        <w:rPr>
          <w:rFonts w:cs="Times New Roman"/>
        </w:rPr>
        <w:t>was</w:t>
      </w:r>
      <w:r w:rsidR="008418AE" w:rsidRPr="007D3516">
        <w:rPr>
          <w:rFonts w:cs="Times New Roman"/>
        </w:rPr>
        <w:t xml:space="preserve"> recorded and archived as a professional development resource for directors and staff</w:t>
      </w:r>
      <w:r w:rsidR="001C31DE">
        <w:rPr>
          <w:rFonts w:cs="Times New Roman"/>
        </w:rPr>
        <w:t xml:space="preserve"> through the Alabama Adult Education System of Performance and Accountability (AAESAP) management information system</w:t>
      </w:r>
      <w:r w:rsidR="008418AE" w:rsidRPr="007D3516">
        <w:rPr>
          <w:rFonts w:cs="Times New Roman"/>
        </w:rPr>
        <w:t xml:space="preserve">.  </w:t>
      </w:r>
      <w:r w:rsidR="0014455C" w:rsidRPr="007D3516">
        <w:rPr>
          <w:rFonts w:cs="Times New Roman"/>
        </w:rPr>
        <w:t xml:space="preserve"> </w:t>
      </w:r>
    </w:p>
    <w:p w14:paraId="3798862E" w14:textId="77777777" w:rsidR="00752446" w:rsidRPr="007D3516" w:rsidRDefault="00752446" w:rsidP="00211AB0">
      <w:pPr>
        <w:autoSpaceDE w:val="0"/>
        <w:autoSpaceDN w:val="0"/>
        <w:adjustRightInd w:val="0"/>
        <w:spacing w:after="0" w:line="240" w:lineRule="auto"/>
        <w:jc w:val="both"/>
        <w:rPr>
          <w:rFonts w:cs="Times New Roman"/>
          <w:b/>
          <w:u w:val="single"/>
        </w:rPr>
      </w:pPr>
    </w:p>
    <w:p w14:paraId="71605BFD" w14:textId="1F810165" w:rsidR="00937FEC" w:rsidRDefault="00CA6F87" w:rsidP="00211AB0">
      <w:pPr>
        <w:autoSpaceDE w:val="0"/>
        <w:autoSpaceDN w:val="0"/>
        <w:adjustRightInd w:val="0"/>
        <w:spacing w:after="0" w:line="240" w:lineRule="auto"/>
        <w:jc w:val="both"/>
        <w:rPr>
          <w:rFonts w:cs="Times New Roman"/>
        </w:rPr>
      </w:pPr>
      <w:r w:rsidRPr="00CA6F87">
        <w:rPr>
          <w:rFonts w:cs="Times New Roman"/>
          <w:u w:val="single"/>
        </w:rPr>
        <w:t>(</w:t>
      </w:r>
      <w:r w:rsidR="005366BC" w:rsidRPr="00CA6F87">
        <w:rPr>
          <w:rFonts w:cs="Times New Roman"/>
          <w:u w:val="single"/>
        </w:rPr>
        <w:t>A.4</w:t>
      </w:r>
      <w:r w:rsidRPr="00CA6F87">
        <w:rPr>
          <w:rFonts w:cs="Times New Roman"/>
          <w:u w:val="single"/>
        </w:rPr>
        <w:t>)</w:t>
      </w:r>
      <w:r w:rsidR="005366BC" w:rsidRPr="00CA6F87">
        <w:rPr>
          <w:rFonts w:cs="Times New Roman"/>
          <w:u w:val="single"/>
        </w:rPr>
        <w:t xml:space="preserve"> </w:t>
      </w:r>
      <w:r w:rsidR="00357EFB" w:rsidRPr="00CA6F87">
        <w:rPr>
          <w:rFonts w:cs="Times New Roman"/>
          <w:u w:val="single"/>
        </w:rPr>
        <w:t>Monitoring and E</w:t>
      </w:r>
      <w:r w:rsidR="00937FEC" w:rsidRPr="00CA6F87">
        <w:rPr>
          <w:rFonts w:cs="Times New Roman"/>
          <w:u w:val="single"/>
        </w:rPr>
        <w:t>valuation</w:t>
      </w:r>
      <w:r w:rsidR="00937FEC" w:rsidRPr="00CA6F87">
        <w:rPr>
          <w:rFonts w:cs="Times New Roman"/>
        </w:rPr>
        <w:t xml:space="preserve"> </w:t>
      </w:r>
    </w:p>
    <w:p w14:paraId="331F4C32" w14:textId="77777777" w:rsidR="002D0A68" w:rsidRPr="00CA6F87" w:rsidRDefault="002D0A68" w:rsidP="00211AB0">
      <w:pPr>
        <w:autoSpaceDE w:val="0"/>
        <w:autoSpaceDN w:val="0"/>
        <w:adjustRightInd w:val="0"/>
        <w:spacing w:after="0" w:line="240" w:lineRule="auto"/>
        <w:jc w:val="both"/>
        <w:rPr>
          <w:rFonts w:cs="Times New Roman"/>
        </w:rPr>
      </w:pPr>
    </w:p>
    <w:p w14:paraId="6611EE31" w14:textId="52BADF19" w:rsidR="00121B8C" w:rsidRDefault="00121B8C" w:rsidP="00121B8C">
      <w:pPr>
        <w:autoSpaceDE w:val="0"/>
        <w:autoSpaceDN w:val="0"/>
        <w:adjustRightInd w:val="0"/>
        <w:spacing w:after="0" w:line="240" w:lineRule="auto"/>
        <w:jc w:val="both"/>
        <w:rPr>
          <w:rFonts w:cs="Times New Roman"/>
        </w:rPr>
      </w:pPr>
      <w:r w:rsidRPr="007D3516">
        <w:rPr>
          <w:rFonts w:cs="Times New Roman"/>
        </w:rPr>
        <w:t>Monitoring and evaluation</w:t>
      </w:r>
      <w:r>
        <w:rPr>
          <w:rFonts w:cs="Times New Roman"/>
        </w:rPr>
        <w:t xml:space="preserve"> of local program</w:t>
      </w:r>
      <w:r w:rsidR="002D0A68">
        <w:rPr>
          <w:rFonts w:cs="Times New Roman"/>
        </w:rPr>
        <w:t>s</w:t>
      </w:r>
      <w:r>
        <w:rPr>
          <w:rFonts w:cs="Times New Roman"/>
        </w:rPr>
        <w:t xml:space="preserve"> is accomplished via quarterly desk-top monitoring and scheduled on-site review visits.  In addition to these formal monitoring and evaluation methods, review of dashboard data and other data analysis frequently prompts targeted technical assistance of specific performance areas, which generally includes a deeper assessment/evaluation of the area being analyzed.  </w:t>
      </w:r>
    </w:p>
    <w:p w14:paraId="3A867BFA" w14:textId="2628F1F1" w:rsidR="0096589D" w:rsidRPr="002D0A68" w:rsidRDefault="00121B8C" w:rsidP="007671DA">
      <w:pPr>
        <w:numPr>
          <w:ilvl w:val="0"/>
          <w:numId w:val="24"/>
        </w:numPr>
        <w:spacing w:after="0" w:line="240" w:lineRule="auto"/>
        <w:ind w:hanging="360"/>
        <w:contextualSpacing/>
        <w:jc w:val="both"/>
        <w:rPr>
          <w:rFonts w:cs="Times New Roman"/>
          <w:bCs/>
        </w:rPr>
      </w:pPr>
      <w:r w:rsidRPr="002D0A68">
        <w:rPr>
          <w:rFonts w:cs="Times New Roman"/>
        </w:rPr>
        <w:t xml:space="preserve">Desktop monitoring is a </w:t>
      </w:r>
      <w:r w:rsidRPr="002D0A68">
        <w:rPr>
          <w:rFonts w:cs="Times New Roman"/>
          <w:bCs/>
        </w:rPr>
        <w:t>routine data collection review of the MIS performance dashboard, and reports from providers.</w:t>
      </w:r>
      <w:r w:rsidRPr="002D0A68">
        <w:rPr>
          <w:rFonts w:ascii="Arial" w:eastAsia="Arial" w:hAnsi="Arial" w:cs="Arial"/>
        </w:rPr>
        <w:t xml:space="preserve"> </w:t>
      </w:r>
      <w:r w:rsidRPr="002D0A68">
        <w:rPr>
          <w:rFonts w:cs="Times New Roman"/>
          <w:bCs/>
        </w:rPr>
        <w:t>The desktop monitoring process utilized is based on the National Reporting System (NRS)</w:t>
      </w:r>
    </w:p>
    <w:p w14:paraId="58EBC3BD" w14:textId="608DC9E0" w:rsidR="00121B8C" w:rsidRPr="000B4223" w:rsidRDefault="00121B8C" w:rsidP="0096589D">
      <w:pPr>
        <w:spacing w:after="0" w:line="240" w:lineRule="auto"/>
        <w:ind w:left="720"/>
        <w:contextualSpacing/>
        <w:jc w:val="both"/>
        <w:rPr>
          <w:rFonts w:cs="Times New Roman"/>
          <w:bCs/>
        </w:rPr>
      </w:pPr>
      <w:r>
        <w:rPr>
          <w:rFonts w:cs="Times New Roman"/>
          <w:bCs/>
        </w:rPr>
        <w:t>Educational Functioning Levels (EFL), Measurable Skill Gains (MSG), High School Equivalency attainment, postsecondary education, training, and employment.  Alabama includes six</w:t>
      </w:r>
      <w:r w:rsidRPr="007D3516">
        <w:rPr>
          <w:rFonts w:cs="Times New Roman"/>
          <w:bCs/>
        </w:rPr>
        <w:t xml:space="preserve"> additional state indic</w:t>
      </w:r>
      <w:r>
        <w:rPr>
          <w:rFonts w:cs="Times New Roman"/>
          <w:bCs/>
        </w:rPr>
        <w:t xml:space="preserve">ators to </w:t>
      </w:r>
      <w:r w:rsidRPr="007D3516">
        <w:rPr>
          <w:rFonts w:cs="Times New Roman"/>
          <w:bCs/>
        </w:rPr>
        <w:t>include</w:t>
      </w:r>
      <w:r>
        <w:rPr>
          <w:rFonts w:cs="Times New Roman"/>
          <w:bCs/>
        </w:rPr>
        <w:t>:</w:t>
      </w:r>
      <w:r w:rsidRPr="007D3516">
        <w:rPr>
          <w:rFonts w:cs="Times New Roman"/>
          <w:bCs/>
        </w:rPr>
        <w:t xml:space="preserve"> 1) an enrollment goal, 2) an overall academi</w:t>
      </w:r>
      <w:r>
        <w:rPr>
          <w:rFonts w:cs="Times New Roman"/>
          <w:bCs/>
        </w:rPr>
        <w:t xml:space="preserve">c performance measure goal, </w:t>
      </w:r>
      <w:r w:rsidRPr="007D3516">
        <w:rPr>
          <w:rFonts w:cs="Times New Roman"/>
          <w:bCs/>
        </w:rPr>
        <w:t>3) a National Career Readiness Certificate goal</w:t>
      </w:r>
      <w:r>
        <w:rPr>
          <w:rFonts w:cs="Times New Roman"/>
          <w:bCs/>
        </w:rPr>
        <w:t>, 4) national professional certifications, 5) Career Pathway Enrollment and 6) a goal for GED® diplomas.</w:t>
      </w:r>
      <w:r w:rsidRPr="007D3516">
        <w:rPr>
          <w:rFonts w:cs="Times New Roman"/>
          <w:bCs/>
        </w:rPr>
        <w:t xml:space="preserve">  </w:t>
      </w:r>
      <w:r>
        <w:rPr>
          <w:rFonts w:cs="Times New Roman"/>
          <w:bCs/>
        </w:rPr>
        <w:t xml:space="preserve">The process also takes into consideration attendance patterns, pre/posttest rates, and invoicing patterns.  </w:t>
      </w:r>
      <w:r w:rsidRPr="000B4223">
        <w:rPr>
          <w:rFonts w:cs="Times New Roman"/>
          <w:bCs/>
        </w:rPr>
        <w:t xml:space="preserve">The desk-top monitoring informs state staff how a grantee is performing against expected results.  Structured desk-top reviews are conducted with each local program on a quarterly basis.  The review is followed by the local program developing a plan for continuous improvement, </w:t>
      </w:r>
      <w:r w:rsidR="00271BD1">
        <w:rPr>
          <w:rFonts w:cs="Times New Roman"/>
          <w:bCs/>
        </w:rPr>
        <w:t>based on</w:t>
      </w:r>
      <w:r w:rsidRPr="000B4223">
        <w:rPr>
          <w:rFonts w:cs="Times New Roman"/>
          <w:bCs/>
        </w:rPr>
        <w:t xml:space="preserve"> observations made during the review.  A follow-up to the improvement plan is made via conference call.  Once the improvement plan has been implemented, the state gauges progression of the plan with a follow-up desk-top/virtual monitoring.</w:t>
      </w:r>
    </w:p>
    <w:p w14:paraId="161776D2" w14:textId="40ED46D5" w:rsidR="00DD4242" w:rsidRPr="00D2137D" w:rsidRDefault="00121B8C" w:rsidP="00D2137D">
      <w:pPr>
        <w:pStyle w:val="ListParagraph"/>
        <w:numPr>
          <w:ilvl w:val="0"/>
          <w:numId w:val="29"/>
        </w:numPr>
        <w:rPr>
          <w:rFonts w:cs="Times New Roman"/>
        </w:rPr>
      </w:pPr>
      <w:r w:rsidRPr="00D2137D">
        <w:rPr>
          <w:rFonts w:cs="Times New Roman"/>
        </w:rPr>
        <w:t>On-site review visits are formal, scheduled visits with local program providers that occur once per RFP cycle for each provider.</w:t>
      </w:r>
      <w:r w:rsidRPr="00D2137D">
        <w:rPr>
          <w:rFonts w:ascii="Arial" w:eastAsia="Arial" w:hAnsi="Arial" w:cs="Arial"/>
        </w:rPr>
        <w:t xml:space="preserve">  </w:t>
      </w:r>
      <w:r w:rsidRPr="00D2137D">
        <w:rPr>
          <w:rFonts w:cs="Times New Roman"/>
        </w:rPr>
        <w:t>It consists of examining the progress made in the project against the agreed upon goals set forth in the application for funds. The purpose of monitoring also provides the opportunity to make constructive suggestions or recommendations. It employs systematic collection of data and on-site observations to provide stakeholders the extent of progress and achievement of objectives, proper and lawful use of funds, and compliance with federal and state policies and guidelines.</w:t>
      </w:r>
    </w:p>
    <w:p w14:paraId="1623E4EB" w14:textId="481808A9" w:rsidR="00271BD1" w:rsidRDefault="00271BD1" w:rsidP="00271BD1">
      <w:pPr>
        <w:rPr>
          <w:rFonts w:cs="Times New Roman"/>
        </w:rPr>
      </w:pPr>
      <w:r w:rsidRPr="000B4223">
        <w:rPr>
          <w:rFonts w:cs="Times New Roman"/>
        </w:rPr>
        <w:t>For PY 2019-20, desk-top monitoring was not hindered by the COVID-19 pandemic, as the process is conducted via distance communication.  However, on-site review visits were impacted by the pandemic.  For the period of January 2020 – June 20</w:t>
      </w:r>
      <w:r w:rsidR="00B44A30">
        <w:rPr>
          <w:rFonts w:cs="Times New Roman"/>
        </w:rPr>
        <w:t>20</w:t>
      </w:r>
      <w:r w:rsidRPr="000B4223">
        <w:rPr>
          <w:rFonts w:cs="Times New Roman"/>
        </w:rPr>
        <w:t xml:space="preserve">, Alabama AE originally had 10 onsite reviews scheduled.  Five of the ten were able to be completed as normal </w:t>
      </w:r>
      <w:r>
        <w:rPr>
          <w:rFonts w:cs="Times New Roman"/>
        </w:rPr>
        <w:t>during the time</w:t>
      </w:r>
      <w:r w:rsidRPr="000B4223">
        <w:rPr>
          <w:rFonts w:cs="Times New Roman"/>
        </w:rPr>
        <w:t xml:space="preserve"> of January 14, 2020, through March 5, 2020. For the remaining five visits scheduled for March 17, 2020, through May 21, 2020, three reviews were able to be completed via the Virtual Compliance Monitoring Tool that the Adult Education State Monitoring Team developed in response to pandemic conditions. Two programs visits were rescheduled and were conducted in a hybrid manner.  </w:t>
      </w:r>
    </w:p>
    <w:p w14:paraId="40E4BF63" w14:textId="5F766F38" w:rsidR="00271BD1" w:rsidRDefault="00271BD1" w:rsidP="00271BD1">
      <w:pPr>
        <w:autoSpaceDE w:val="0"/>
        <w:autoSpaceDN w:val="0"/>
        <w:adjustRightInd w:val="0"/>
        <w:spacing w:after="0" w:line="240" w:lineRule="auto"/>
        <w:jc w:val="both"/>
        <w:rPr>
          <w:rFonts w:cs="Times New Roman"/>
        </w:rPr>
      </w:pPr>
      <w:r>
        <w:rPr>
          <w:rFonts w:cs="Times New Roman"/>
        </w:rPr>
        <w:lastRenderedPageBreak/>
        <w:t>The state continues to revise and adapt new features to the compliance review and technical assistance process. P</w:t>
      </w:r>
      <w:r w:rsidRPr="007D3516">
        <w:rPr>
          <w:rFonts w:cs="Times New Roman"/>
        </w:rPr>
        <w:t xml:space="preserve">rogram effectiveness is gauged through the federal measures as outlined under the federal WIOA and NRS measures.  Programs with low performance </w:t>
      </w:r>
      <w:r>
        <w:rPr>
          <w:rFonts w:cs="Times New Roman"/>
        </w:rPr>
        <w:t>in</w:t>
      </w:r>
      <w:r w:rsidRPr="007D3516">
        <w:rPr>
          <w:rFonts w:cs="Times New Roman"/>
        </w:rPr>
        <w:t xml:space="preserve"> the fe</w:t>
      </w:r>
      <w:r>
        <w:rPr>
          <w:rFonts w:cs="Times New Roman"/>
        </w:rPr>
        <w:t xml:space="preserve">deral and state indicators are </w:t>
      </w:r>
      <w:r w:rsidRPr="007D3516">
        <w:rPr>
          <w:rFonts w:cs="Times New Roman"/>
        </w:rPr>
        <w:t xml:space="preserve">given continuous support by </w:t>
      </w:r>
      <w:r>
        <w:rPr>
          <w:rFonts w:cs="Times New Roman"/>
        </w:rPr>
        <w:t xml:space="preserve">the </w:t>
      </w:r>
      <w:r w:rsidR="002D0A68">
        <w:rPr>
          <w:rFonts w:cs="Times New Roman"/>
        </w:rPr>
        <w:t>S</w:t>
      </w:r>
      <w:r>
        <w:rPr>
          <w:rFonts w:cs="Times New Roman"/>
        </w:rPr>
        <w:t xml:space="preserve">tate </w:t>
      </w:r>
      <w:r w:rsidR="002D0A68">
        <w:rPr>
          <w:rFonts w:cs="Times New Roman"/>
        </w:rPr>
        <w:t>S</w:t>
      </w:r>
      <w:r>
        <w:rPr>
          <w:rFonts w:cs="Times New Roman"/>
        </w:rPr>
        <w:t>taf</w:t>
      </w:r>
      <w:r w:rsidR="002D0A68">
        <w:rPr>
          <w:rFonts w:cs="Times New Roman"/>
        </w:rPr>
        <w:t>f T</w:t>
      </w:r>
      <w:r>
        <w:rPr>
          <w:rFonts w:cs="Times New Roman"/>
        </w:rPr>
        <w:t>eam</w:t>
      </w:r>
      <w:r w:rsidRPr="007D3516">
        <w:rPr>
          <w:rFonts w:cs="Times New Roman"/>
        </w:rPr>
        <w:t xml:space="preserve">. </w:t>
      </w:r>
    </w:p>
    <w:p w14:paraId="5D95A962" w14:textId="518FFFF9" w:rsidR="002D0A68" w:rsidRDefault="002D0A68" w:rsidP="00271BD1">
      <w:pPr>
        <w:autoSpaceDE w:val="0"/>
        <w:autoSpaceDN w:val="0"/>
        <w:adjustRightInd w:val="0"/>
        <w:spacing w:after="0" w:line="240" w:lineRule="auto"/>
        <w:jc w:val="both"/>
        <w:rPr>
          <w:rFonts w:cs="Times New Roman"/>
        </w:rPr>
      </w:pPr>
    </w:p>
    <w:p w14:paraId="3B328D6B" w14:textId="4D6A4C4C" w:rsidR="00FA0335" w:rsidRDefault="005366BC" w:rsidP="00211AB0">
      <w:pPr>
        <w:autoSpaceDE w:val="0"/>
        <w:autoSpaceDN w:val="0"/>
        <w:adjustRightInd w:val="0"/>
        <w:spacing w:after="0" w:line="240" w:lineRule="auto"/>
        <w:jc w:val="both"/>
        <w:rPr>
          <w:rFonts w:cs="Times New Roman"/>
        </w:rPr>
      </w:pPr>
      <w:r w:rsidRPr="00CA6F87">
        <w:rPr>
          <w:rFonts w:cs="Times New Roman"/>
          <w:u w:val="single"/>
        </w:rPr>
        <w:t xml:space="preserve">B. </w:t>
      </w:r>
      <w:r w:rsidR="00937FEC" w:rsidRPr="00CA6F87">
        <w:rPr>
          <w:rFonts w:cs="Times New Roman"/>
          <w:u w:val="single"/>
        </w:rPr>
        <w:t>Permissible Activities</w:t>
      </w:r>
      <w:r w:rsidR="00937FEC" w:rsidRPr="00CA6F87">
        <w:rPr>
          <w:rFonts w:cs="Times New Roman"/>
        </w:rPr>
        <w:t xml:space="preserve"> </w:t>
      </w:r>
    </w:p>
    <w:p w14:paraId="01FDD7BB" w14:textId="77777777" w:rsidR="002D0A68" w:rsidRPr="00CA6F87" w:rsidRDefault="002D0A68" w:rsidP="00211AB0">
      <w:pPr>
        <w:autoSpaceDE w:val="0"/>
        <w:autoSpaceDN w:val="0"/>
        <w:adjustRightInd w:val="0"/>
        <w:spacing w:after="0" w:line="240" w:lineRule="auto"/>
        <w:jc w:val="both"/>
        <w:rPr>
          <w:rFonts w:cs="Times New Roman"/>
        </w:rPr>
      </w:pPr>
    </w:p>
    <w:p w14:paraId="415C40DF" w14:textId="53BC5161" w:rsidR="00271BD1" w:rsidRDefault="00271BD1" w:rsidP="00271BD1">
      <w:pPr>
        <w:autoSpaceDE w:val="0"/>
        <w:autoSpaceDN w:val="0"/>
        <w:adjustRightInd w:val="0"/>
        <w:spacing w:after="0" w:line="240" w:lineRule="auto"/>
        <w:jc w:val="both"/>
        <w:rPr>
          <w:rFonts w:cs="Times New Roman"/>
        </w:rPr>
      </w:pPr>
      <w:r>
        <w:rPr>
          <w:rFonts w:cs="Times New Roman"/>
        </w:rPr>
        <w:t>During the 2019-20</w:t>
      </w:r>
      <w:r w:rsidRPr="007D3516">
        <w:rPr>
          <w:rFonts w:cs="Times New Roman"/>
        </w:rPr>
        <w:t xml:space="preserve"> program ye</w:t>
      </w:r>
      <w:r>
        <w:rPr>
          <w:rFonts w:cs="Times New Roman"/>
        </w:rPr>
        <w:t xml:space="preserve">ar, leadership funds were used to support the Alabama Adult Education System of Accountability and Performance (AAESAP).  The data management system continues to expand functionality to capture, match, and report WIOA data.  </w:t>
      </w:r>
    </w:p>
    <w:p w14:paraId="3FB692E0" w14:textId="77777777" w:rsidR="00AC2E77" w:rsidRPr="00AC2E77" w:rsidRDefault="00AC2E77" w:rsidP="00AC2E77">
      <w:pPr>
        <w:pBdr>
          <w:bottom w:val="single" w:sz="4" w:space="1" w:color="auto"/>
        </w:pBdr>
        <w:autoSpaceDE w:val="0"/>
        <w:autoSpaceDN w:val="0"/>
        <w:adjustRightInd w:val="0"/>
        <w:spacing w:after="0" w:line="240" w:lineRule="auto"/>
        <w:jc w:val="both"/>
        <w:rPr>
          <w:rFonts w:cs="Times New Roman"/>
        </w:rPr>
      </w:pPr>
    </w:p>
    <w:p w14:paraId="19C63562" w14:textId="1E1DFF4C" w:rsidR="008F2BEA" w:rsidRDefault="00EC2C25" w:rsidP="001C6AD7">
      <w:pPr>
        <w:shd w:val="clear" w:color="auto" w:fill="E7E6E6" w:themeFill="background2"/>
        <w:spacing w:after="0"/>
        <w:jc w:val="both"/>
        <w:rPr>
          <w:b/>
        </w:rPr>
      </w:pPr>
      <w:r w:rsidRPr="007D3516">
        <w:rPr>
          <w:b/>
        </w:rPr>
        <w:t>Performance Data Analysis</w:t>
      </w:r>
    </w:p>
    <w:p w14:paraId="7FD7BA3C" w14:textId="77777777" w:rsidR="0020344D" w:rsidRDefault="0020344D" w:rsidP="001C6AD7">
      <w:pPr>
        <w:shd w:val="clear" w:color="auto" w:fill="E7E6E6" w:themeFill="background2"/>
        <w:spacing w:after="0"/>
        <w:jc w:val="both"/>
        <w:rPr>
          <w:b/>
        </w:rPr>
      </w:pPr>
    </w:p>
    <w:p w14:paraId="63FAB71B" w14:textId="77777777" w:rsidR="007F532E" w:rsidRPr="00B00C52" w:rsidRDefault="007F532E" w:rsidP="001C6AD7">
      <w:pPr>
        <w:shd w:val="clear" w:color="auto" w:fill="E7E6E6" w:themeFill="background2"/>
        <w:spacing w:after="0"/>
        <w:contextualSpacing/>
        <w:jc w:val="both"/>
        <w:rPr>
          <w:b/>
          <w:i/>
        </w:rPr>
      </w:pPr>
      <w:r w:rsidRPr="00B00C52">
        <w:rPr>
          <w:rFonts w:cs="Times New Roman"/>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44F8417" w14:textId="77777777" w:rsidR="000A2A86" w:rsidRPr="007D3516" w:rsidRDefault="000A2A86" w:rsidP="001C6AD7">
      <w:pPr>
        <w:pBdr>
          <w:bottom w:val="single" w:sz="4" w:space="1" w:color="auto"/>
        </w:pBdr>
        <w:shd w:val="clear" w:color="auto" w:fill="E7E6E6" w:themeFill="background2"/>
        <w:autoSpaceDE w:val="0"/>
        <w:autoSpaceDN w:val="0"/>
        <w:adjustRightInd w:val="0"/>
        <w:spacing w:after="0" w:line="240" w:lineRule="auto"/>
        <w:contextualSpacing/>
        <w:jc w:val="both"/>
        <w:rPr>
          <w:rFonts w:cs="Times New Roman"/>
          <w:bCs/>
        </w:rPr>
      </w:pPr>
    </w:p>
    <w:p w14:paraId="39FBAD74" w14:textId="77777777" w:rsidR="001C6AD7" w:rsidRDefault="001C6AD7" w:rsidP="00211AB0">
      <w:pPr>
        <w:autoSpaceDE w:val="0"/>
        <w:autoSpaceDN w:val="0"/>
        <w:adjustRightInd w:val="0"/>
        <w:spacing w:after="0" w:line="240" w:lineRule="auto"/>
        <w:jc w:val="both"/>
        <w:rPr>
          <w:rFonts w:cs="Times New Roman"/>
          <w:bCs/>
        </w:rPr>
      </w:pPr>
    </w:p>
    <w:p w14:paraId="6BF2EDC1" w14:textId="32AB52B5" w:rsidR="00454D86" w:rsidRDefault="00884964" w:rsidP="00211AB0">
      <w:pPr>
        <w:autoSpaceDE w:val="0"/>
        <w:autoSpaceDN w:val="0"/>
        <w:adjustRightInd w:val="0"/>
        <w:spacing w:after="0" w:line="240" w:lineRule="auto"/>
        <w:jc w:val="both"/>
        <w:rPr>
          <w:rFonts w:cs="Times New Roman"/>
          <w:bCs/>
        </w:rPr>
      </w:pPr>
      <w:r>
        <w:rPr>
          <w:rFonts w:cs="Times New Roman"/>
          <w:bCs/>
        </w:rPr>
        <w:t>Alabama has 67 counties in the state with 2</w:t>
      </w:r>
      <w:r w:rsidR="00271BD1">
        <w:rPr>
          <w:rFonts w:cs="Times New Roman"/>
          <w:bCs/>
        </w:rPr>
        <w:t>5</w:t>
      </w:r>
      <w:r>
        <w:rPr>
          <w:rFonts w:cs="Times New Roman"/>
          <w:bCs/>
        </w:rPr>
        <w:t xml:space="preserve"> fiscal agents</w:t>
      </w:r>
      <w:r w:rsidR="00AC49A0">
        <w:rPr>
          <w:rFonts w:cs="Times New Roman"/>
          <w:bCs/>
        </w:rPr>
        <w:t xml:space="preserve"> providing services in each county</w:t>
      </w:r>
      <w:r>
        <w:rPr>
          <w:rFonts w:cs="Times New Roman"/>
          <w:bCs/>
        </w:rPr>
        <w:t xml:space="preserve">.  </w:t>
      </w:r>
      <w:r w:rsidR="00A45177">
        <w:rPr>
          <w:rFonts w:cs="Times New Roman"/>
          <w:bCs/>
        </w:rPr>
        <w:t>These 2</w:t>
      </w:r>
      <w:r w:rsidR="00271BD1">
        <w:rPr>
          <w:rFonts w:cs="Times New Roman"/>
          <w:bCs/>
        </w:rPr>
        <w:t>5</w:t>
      </w:r>
      <w:r w:rsidR="000A0FDE">
        <w:rPr>
          <w:rFonts w:cs="Times New Roman"/>
          <w:bCs/>
        </w:rPr>
        <w:t xml:space="preserve"> providers </w:t>
      </w:r>
      <w:r w:rsidR="00A45177">
        <w:rPr>
          <w:rFonts w:cs="Times New Roman"/>
          <w:bCs/>
        </w:rPr>
        <w:t>a</w:t>
      </w:r>
      <w:r w:rsidR="00595775">
        <w:rPr>
          <w:rFonts w:cs="Times New Roman"/>
          <w:bCs/>
        </w:rPr>
        <w:t xml:space="preserve">ccount for </w:t>
      </w:r>
      <w:r w:rsidR="00A45177" w:rsidRPr="004B2A9E">
        <w:rPr>
          <w:rFonts w:cs="Times New Roman"/>
          <w:bCs/>
        </w:rPr>
        <w:t xml:space="preserve">over 400 locations and </w:t>
      </w:r>
      <w:r w:rsidR="00232566">
        <w:rPr>
          <w:rFonts w:cs="Times New Roman"/>
          <w:bCs/>
        </w:rPr>
        <w:t>1,102</w:t>
      </w:r>
      <w:r w:rsidRPr="004B2A9E">
        <w:rPr>
          <w:rFonts w:cs="Times New Roman"/>
          <w:bCs/>
        </w:rPr>
        <w:t xml:space="preserve"> classes</w:t>
      </w:r>
      <w:r>
        <w:rPr>
          <w:rFonts w:cs="Times New Roman"/>
          <w:bCs/>
        </w:rPr>
        <w:t xml:space="preserve">.  The </w:t>
      </w:r>
      <w:r w:rsidR="00B53868">
        <w:rPr>
          <w:rFonts w:cs="Times New Roman"/>
          <w:bCs/>
        </w:rPr>
        <w:t>adult education</w:t>
      </w:r>
      <w:r>
        <w:rPr>
          <w:rFonts w:cs="Times New Roman"/>
          <w:bCs/>
        </w:rPr>
        <w:t xml:space="preserve"> system has </w:t>
      </w:r>
      <w:r w:rsidR="0083293A">
        <w:rPr>
          <w:rFonts w:cs="Times New Roman"/>
          <w:bCs/>
        </w:rPr>
        <w:t xml:space="preserve">a staff of </w:t>
      </w:r>
      <w:r w:rsidR="00232566">
        <w:rPr>
          <w:rFonts w:cs="Times New Roman"/>
          <w:bCs/>
        </w:rPr>
        <w:t>698</w:t>
      </w:r>
      <w:r w:rsidR="0083293A">
        <w:rPr>
          <w:rFonts w:cs="Times New Roman"/>
          <w:bCs/>
        </w:rPr>
        <w:t xml:space="preserve">, in addition to </w:t>
      </w:r>
      <w:r w:rsidR="00232566">
        <w:rPr>
          <w:rFonts w:cs="Times New Roman"/>
          <w:bCs/>
        </w:rPr>
        <w:t>29+</w:t>
      </w:r>
      <w:r w:rsidR="0083293A">
        <w:rPr>
          <w:rFonts w:cs="Times New Roman"/>
          <w:bCs/>
        </w:rPr>
        <w:t xml:space="preserve"> </w:t>
      </w:r>
      <w:r w:rsidR="00595775">
        <w:rPr>
          <w:rFonts w:cs="Times New Roman"/>
          <w:bCs/>
        </w:rPr>
        <w:t>volunteers.  Part-time staff (</w:t>
      </w:r>
      <w:r w:rsidR="00595775" w:rsidRPr="00595775">
        <w:rPr>
          <w:rFonts w:cs="Times New Roman"/>
          <w:bCs/>
          <w:i/>
        </w:rPr>
        <w:t>less than 19 hours a week</w:t>
      </w:r>
      <w:r w:rsidR="0083293A">
        <w:rPr>
          <w:rFonts w:cs="Times New Roman"/>
          <w:bCs/>
        </w:rPr>
        <w:t xml:space="preserve">) makeup </w:t>
      </w:r>
      <w:r w:rsidR="00232566">
        <w:rPr>
          <w:rFonts w:cs="Times New Roman"/>
          <w:bCs/>
        </w:rPr>
        <w:t>74</w:t>
      </w:r>
      <w:r w:rsidR="00595775">
        <w:rPr>
          <w:rFonts w:cs="Times New Roman"/>
          <w:bCs/>
        </w:rPr>
        <w:t xml:space="preserve">% of the </w:t>
      </w:r>
      <w:r w:rsidR="0083293A">
        <w:rPr>
          <w:rFonts w:cs="Times New Roman"/>
          <w:bCs/>
        </w:rPr>
        <w:t xml:space="preserve">total staff.  During the </w:t>
      </w:r>
      <w:r w:rsidR="00271BD1">
        <w:rPr>
          <w:rFonts w:cs="Times New Roman"/>
          <w:bCs/>
        </w:rPr>
        <w:t>2019 -20</w:t>
      </w:r>
      <w:r w:rsidR="00595775">
        <w:rPr>
          <w:rFonts w:cs="Times New Roman"/>
          <w:bCs/>
        </w:rPr>
        <w:t xml:space="preserve"> program year t</w:t>
      </w:r>
      <w:r w:rsidR="00AC49A0">
        <w:rPr>
          <w:rFonts w:cs="Times New Roman"/>
          <w:bCs/>
        </w:rPr>
        <w:t xml:space="preserve">here </w:t>
      </w:r>
      <w:r w:rsidR="00595775">
        <w:rPr>
          <w:rFonts w:cs="Times New Roman"/>
          <w:bCs/>
        </w:rPr>
        <w:t>were</w:t>
      </w:r>
      <w:r w:rsidR="00AC49A0">
        <w:rPr>
          <w:rFonts w:cs="Times New Roman"/>
          <w:bCs/>
        </w:rPr>
        <w:t xml:space="preserve"> 2</w:t>
      </w:r>
      <w:r w:rsidR="00271BD1">
        <w:rPr>
          <w:rFonts w:cs="Times New Roman"/>
          <w:bCs/>
        </w:rPr>
        <w:t>5</w:t>
      </w:r>
      <w:r w:rsidR="00D34928">
        <w:rPr>
          <w:rFonts w:cs="Times New Roman"/>
          <w:bCs/>
        </w:rPr>
        <w:t xml:space="preserve"> </w:t>
      </w:r>
      <w:r w:rsidR="00595775">
        <w:rPr>
          <w:rFonts w:cs="Times New Roman"/>
          <w:bCs/>
        </w:rPr>
        <w:t xml:space="preserve">designated </w:t>
      </w:r>
      <w:r w:rsidR="00AC49A0">
        <w:rPr>
          <w:rFonts w:cs="Times New Roman"/>
          <w:bCs/>
        </w:rPr>
        <w:t>program directors</w:t>
      </w:r>
      <w:r w:rsidR="0083293A">
        <w:rPr>
          <w:rFonts w:cs="Times New Roman"/>
          <w:bCs/>
        </w:rPr>
        <w:t>, many with less than one year of experience</w:t>
      </w:r>
      <w:r w:rsidR="00A10781">
        <w:rPr>
          <w:rFonts w:cs="Times New Roman"/>
          <w:bCs/>
        </w:rPr>
        <w:t>.</w:t>
      </w:r>
      <w:r w:rsidR="0023302F">
        <w:rPr>
          <w:rFonts w:cs="Times New Roman"/>
          <w:bCs/>
        </w:rPr>
        <w:t xml:space="preserve"> </w:t>
      </w:r>
      <w:r w:rsidR="00B4468E">
        <w:rPr>
          <w:rFonts w:cs="Times New Roman"/>
          <w:bCs/>
        </w:rPr>
        <w:t>R</w:t>
      </w:r>
      <w:r w:rsidR="000A0FDE">
        <w:rPr>
          <w:rFonts w:cs="Times New Roman"/>
          <w:bCs/>
        </w:rPr>
        <w:t xml:space="preserve">etirements during the </w:t>
      </w:r>
      <w:r w:rsidR="00271BD1">
        <w:rPr>
          <w:rFonts w:cs="Times New Roman"/>
          <w:bCs/>
        </w:rPr>
        <w:t>year resulted in</w:t>
      </w:r>
      <w:r w:rsidR="000A0FDE">
        <w:rPr>
          <w:rFonts w:cs="Times New Roman"/>
          <w:bCs/>
        </w:rPr>
        <w:t xml:space="preserve"> several changes in </w:t>
      </w:r>
      <w:r w:rsidR="009025F6">
        <w:rPr>
          <w:rFonts w:cs="Times New Roman"/>
          <w:bCs/>
        </w:rPr>
        <w:t xml:space="preserve">local </w:t>
      </w:r>
      <w:r w:rsidR="000A0FDE">
        <w:rPr>
          <w:rFonts w:cs="Times New Roman"/>
          <w:bCs/>
        </w:rPr>
        <w:t>program leadership</w:t>
      </w:r>
      <w:r w:rsidR="00271BD1">
        <w:rPr>
          <w:rFonts w:cs="Times New Roman"/>
          <w:bCs/>
        </w:rPr>
        <w:t>.  These changes, as well as the closures and changes to teaching and recruitment strategies due to COVID-19</w:t>
      </w:r>
      <w:r w:rsidR="00737619">
        <w:rPr>
          <w:rFonts w:cs="Times New Roman"/>
          <w:bCs/>
        </w:rPr>
        <w:t xml:space="preserve">, resulted in </w:t>
      </w:r>
      <w:r w:rsidR="00B4468E">
        <w:rPr>
          <w:rFonts w:cs="Times New Roman"/>
          <w:bCs/>
        </w:rPr>
        <w:t>in</w:t>
      </w:r>
      <w:r w:rsidR="009025F6">
        <w:rPr>
          <w:rFonts w:cs="Times New Roman"/>
          <w:bCs/>
        </w:rPr>
        <w:t xml:space="preserve">consistency in </w:t>
      </w:r>
      <w:r w:rsidR="0023302F">
        <w:rPr>
          <w:rFonts w:cs="Times New Roman"/>
          <w:bCs/>
        </w:rPr>
        <w:t xml:space="preserve">local program </w:t>
      </w:r>
      <w:r w:rsidR="009025F6">
        <w:rPr>
          <w:rFonts w:cs="Times New Roman"/>
          <w:bCs/>
        </w:rPr>
        <w:t>performance</w:t>
      </w:r>
      <w:r w:rsidR="000A0FDE">
        <w:rPr>
          <w:rFonts w:cs="Times New Roman"/>
          <w:bCs/>
        </w:rPr>
        <w:t xml:space="preserve">.  </w:t>
      </w:r>
    </w:p>
    <w:p w14:paraId="7190C949" w14:textId="77777777" w:rsidR="00B56537" w:rsidRDefault="00B56537" w:rsidP="00211AB0">
      <w:pPr>
        <w:autoSpaceDE w:val="0"/>
        <w:autoSpaceDN w:val="0"/>
        <w:adjustRightInd w:val="0"/>
        <w:spacing w:after="0" w:line="240" w:lineRule="auto"/>
        <w:jc w:val="both"/>
        <w:rPr>
          <w:rFonts w:cs="Times New Roman"/>
          <w:bCs/>
        </w:rPr>
      </w:pPr>
    </w:p>
    <w:p w14:paraId="73F0A859" w14:textId="2AF7195A" w:rsidR="0020344D" w:rsidRDefault="00D04454" w:rsidP="001675DB">
      <w:pPr>
        <w:autoSpaceDE w:val="0"/>
        <w:autoSpaceDN w:val="0"/>
        <w:adjustRightInd w:val="0"/>
        <w:spacing w:after="0" w:line="240" w:lineRule="auto"/>
        <w:jc w:val="both"/>
        <w:rPr>
          <w:rFonts w:cs="Times New Roman"/>
          <w:bCs/>
        </w:rPr>
      </w:pPr>
      <w:r>
        <w:rPr>
          <w:rFonts w:cs="Times New Roman"/>
          <w:bCs/>
        </w:rPr>
        <w:t>Ala</w:t>
      </w:r>
      <w:r w:rsidR="00D93D8D">
        <w:rPr>
          <w:rFonts w:cs="Times New Roman"/>
          <w:bCs/>
        </w:rPr>
        <w:t xml:space="preserve">bama Adult Education follows a </w:t>
      </w:r>
      <w:r>
        <w:rPr>
          <w:rFonts w:cs="Times New Roman"/>
          <w:bCs/>
        </w:rPr>
        <w:t>continuous imp</w:t>
      </w:r>
      <w:r w:rsidR="00344754">
        <w:rPr>
          <w:rFonts w:cs="Times New Roman"/>
          <w:bCs/>
        </w:rPr>
        <w:t xml:space="preserve">rovement approach with </w:t>
      </w:r>
      <w:r w:rsidR="00D93D8D">
        <w:rPr>
          <w:rFonts w:cs="Times New Roman"/>
          <w:bCs/>
        </w:rPr>
        <w:t>data analysis as the foundational base</w:t>
      </w:r>
      <w:r>
        <w:rPr>
          <w:rFonts w:cs="Times New Roman"/>
          <w:bCs/>
        </w:rPr>
        <w:t xml:space="preserve">.  </w:t>
      </w:r>
      <w:r w:rsidR="00920205" w:rsidRPr="007D3516">
        <w:rPr>
          <w:rFonts w:cs="Times New Roman"/>
          <w:bCs/>
        </w:rPr>
        <w:t>The</w:t>
      </w:r>
      <w:r w:rsidR="00B4468E">
        <w:rPr>
          <w:rFonts w:cs="Times New Roman"/>
          <w:bCs/>
        </w:rPr>
        <w:t xml:space="preserve"> </w:t>
      </w:r>
      <w:r w:rsidR="00FA0335" w:rsidRPr="007D3516">
        <w:rPr>
          <w:rFonts w:cs="Times New Roman"/>
          <w:bCs/>
        </w:rPr>
        <w:t xml:space="preserve">state has been </w:t>
      </w:r>
      <w:r w:rsidR="00AF0F04">
        <w:rPr>
          <w:rFonts w:cs="Times New Roman"/>
          <w:bCs/>
        </w:rPr>
        <w:t>relative</w:t>
      </w:r>
      <w:r w:rsidR="00AD7240">
        <w:rPr>
          <w:rFonts w:cs="Times New Roman"/>
          <w:bCs/>
        </w:rPr>
        <w:t>ly</w:t>
      </w:r>
      <w:r w:rsidR="00AF0F04">
        <w:rPr>
          <w:rFonts w:cs="Times New Roman"/>
          <w:bCs/>
        </w:rPr>
        <w:t xml:space="preserve"> </w:t>
      </w:r>
      <w:r w:rsidR="00FA0335" w:rsidRPr="007D3516">
        <w:rPr>
          <w:rFonts w:cs="Times New Roman"/>
          <w:bCs/>
        </w:rPr>
        <w:t>consistent with historical norms</w:t>
      </w:r>
      <w:r w:rsidR="00123984">
        <w:rPr>
          <w:rFonts w:cs="Times New Roman"/>
          <w:bCs/>
        </w:rPr>
        <w:t xml:space="preserve"> for the core indicators of performance</w:t>
      </w:r>
      <w:r w:rsidR="00B4468E">
        <w:rPr>
          <w:rFonts w:cs="Times New Roman"/>
          <w:bCs/>
        </w:rPr>
        <w:t xml:space="preserve"> and the population demographic served</w:t>
      </w:r>
      <w:r w:rsidR="00FA0335" w:rsidRPr="007D3516">
        <w:rPr>
          <w:rFonts w:cs="Times New Roman"/>
          <w:bCs/>
        </w:rPr>
        <w:t>.</w:t>
      </w:r>
      <w:r w:rsidR="00047C58">
        <w:rPr>
          <w:rFonts w:cs="Times New Roman"/>
          <w:bCs/>
        </w:rPr>
        <w:t xml:space="preserve">  </w:t>
      </w:r>
    </w:p>
    <w:p w14:paraId="6494695C" w14:textId="77777777" w:rsidR="00777BC2" w:rsidRDefault="00777BC2" w:rsidP="001675DB">
      <w:pPr>
        <w:autoSpaceDE w:val="0"/>
        <w:autoSpaceDN w:val="0"/>
        <w:adjustRightInd w:val="0"/>
        <w:spacing w:after="0" w:line="240" w:lineRule="auto"/>
        <w:jc w:val="both"/>
        <w:rPr>
          <w:rFonts w:cs="Times New Roman"/>
          <w:bCs/>
        </w:rPr>
      </w:pPr>
    </w:p>
    <w:p w14:paraId="74A99FC4" w14:textId="3C8FDF45" w:rsidR="0020344D" w:rsidRDefault="00777BC2" w:rsidP="007C109D">
      <w:pPr>
        <w:autoSpaceDE w:val="0"/>
        <w:autoSpaceDN w:val="0"/>
        <w:adjustRightInd w:val="0"/>
        <w:spacing w:after="0" w:line="240" w:lineRule="auto"/>
        <w:jc w:val="center"/>
        <w:rPr>
          <w:rFonts w:cs="Times New Roman"/>
          <w:bCs/>
        </w:rPr>
      </w:pPr>
      <w:r>
        <w:rPr>
          <w:rFonts w:cs="Times New Roman"/>
          <w:bCs/>
          <w:noProof/>
        </w:rPr>
        <w:drawing>
          <wp:inline distT="0" distB="0" distL="0" distR="0" wp14:anchorId="11468DCD" wp14:editId="607460DA">
            <wp:extent cx="2644775" cy="1630232"/>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073" cy="1633497"/>
                    </a:xfrm>
                    <a:prstGeom prst="rect">
                      <a:avLst/>
                    </a:prstGeom>
                    <a:noFill/>
                  </pic:spPr>
                </pic:pic>
              </a:graphicData>
            </a:graphic>
          </wp:inline>
        </w:drawing>
      </w:r>
      <w:r>
        <w:rPr>
          <w:rFonts w:cs="Times New Roman"/>
          <w:bCs/>
          <w:noProof/>
        </w:rPr>
        <w:drawing>
          <wp:inline distT="0" distB="0" distL="0" distR="0" wp14:anchorId="1DB5E163" wp14:editId="374550C3">
            <wp:extent cx="2647950" cy="163218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923" cy="1635254"/>
                    </a:xfrm>
                    <a:prstGeom prst="rect">
                      <a:avLst/>
                    </a:prstGeom>
                    <a:noFill/>
                  </pic:spPr>
                </pic:pic>
              </a:graphicData>
            </a:graphic>
          </wp:inline>
        </w:drawing>
      </w:r>
    </w:p>
    <w:p w14:paraId="76753148" w14:textId="08F0817C" w:rsidR="00080E6B" w:rsidRDefault="00080E6B" w:rsidP="007C109D">
      <w:pPr>
        <w:autoSpaceDE w:val="0"/>
        <w:autoSpaceDN w:val="0"/>
        <w:adjustRightInd w:val="0"/>
        <w:spacing w:after="0" w:line="240" w:lineRule="auto"/>
        <w:jc w:val="center"/>
        <w:rPr>
          <w:rFonts w:cs="Times New Roman"/>
          <w:bCs/>
        </w:rPr>
      </w:pPr>
    </w:p>
    <w:p w14:paraId="0DA41BEF" w14:textId="42200433" w:rsidR="00080E6B" w:rsidRDefault="00191EE1" w:rsidP="007C109D">
      <w:pPr>
        <w:autoSpaceDE w:val="0"/>
        <w:autoSpaceDN w:val="0"/>
        <w:adjustRightInd w:val="0"/>
        <w:spacing w:after="0" w:line="240" w:lineRule="auto"/>
        <w:jc w:val="center"/>
        <w:rPr>
          <w:rFonts w:cs="Times New Roman"/>
          <w:bCs/>
        </w:rPr>
      </w:pPr>
      <w:r>
        <w:rPr>
          <w:rFonts w:cs="Times New Roman"/>
          <w:bCs/>
        </w:rPr>
        <w:t>David.wa</w:t>
      </w:r>
    </w:p>
    <w:p w14:paraId="1EF45A69" w14:textId="77777777" w:rsidR="00A97E5C" w:rsidRDefault="00A97E5C" w:rsidP="001675DB">
      <w:pPr>
        <w:autoSpaceDE w:val="0"/>
        <w:autoSpaceDN w:val="0"/>
        <w:adjustRightInd w:val="0"/>
        <w:spacing w:after="0" w:line="240" w:lineRule="auto"/>
        <w:jc w:val="both"/>
        <w:rPr>
          <w:rFonts w:cs="Times New Roman"/>
          <w:bCs/>
        </w:rPr>
      </w:pPr>
    </w:p>
    <w:tbl>
      <w:tblPr>
        <w:tblW w:w="9856" w:type="dxa"/>
        <w:tblInd w:w="98" w:type="dxa"/>
        <w:tblLook w:val="04A0" w:firstRow="1" w:lastRow="0" w:firstColumn="1" w:lastColumn="0" w:noHBand="0" w:noVBand="1"/>
      </w:tblPr>
      <w:tblGrid>
        <w:gridCol w:w="4350"/>
        <w:gridCol w:w="2524"/>
        <w:gridCol w:w="2982"/>
      </w:tblGrid>
      <w:tr w:rsidR="00ED239A" w:rsidRPr="00127AD4" w14:paraId="63239D16" w14:textId="77777777" w:rsidTr="00777BC2">
        <w:trPr>
          <w:trHeight w:val="60"/>
        </w:trPr>
        <w:tc>
          <w:tcPr>
            <w:tcW w:w="9856" w:type="dxa"/>
            <w:gridSpan w:val="3"/>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C3FB585" w14:textId="77777777" w:rsidR="00ED239A" w:rsidRPr="00F22A71" w:rsidRDefault="00ED239A" w:rsidP="000122FC">
            <w:pPr>
              <w:spacing w:after="0" w:line="240" w:lineRule="auto"/>
              <w:rPr>
                <w:rFonts w:ascii="Calibri" w:eastAsia="Times New Roman" w:hAnsi="Calibri" w:cs="Times New Roman"/>
                <w:b/>
                <w:bCs/>
                <w:color w:val="000000"/>
              </w:rPr>
            </w:pPr>
            <w:r w:rsidRPr="00F22A71">
              <w:rPr>
                <w:rFonts w:ascii="Calibri" w:eastAsia="Times New Roman" w:hAnsi="Calibri" w:cs="Times New Roman"/>
                <w:b/>
                <w:bCs/>
                <w:color w:val="FFFFFF" w:themeColor="background1"/>
              </w:rPr>
              <w:lastRenderedPageBreak/>
              <w:t xml:space="preserve">Alabama Adult Education </w:t>
            </w:r>
          </w:p>
        </w:tc>
      </w:tr>
      <w:tr w:rsidR="00ED239A" w:rsidRPr="003D3387" w14:paraId="688C3363" w14:textId="77777777" w:rsidTr="00777BC2">
        <w:trPr>
          <w:trHeight w:val="440"/>
        </w:trPr>
        <w:tc>
          <w:tcPr>
            <w:tcW w:w="4350" w:type="dxa"/>
            <w:tcBorders>
              <w:top w:val="single" w:sz="4" w:space="0" w:color="auto"/>
              <w:left w:val="single" w:sz="8" w:space="0" w:color="auto"/>
              <w:bottom w:val="single" w:sz="8" w:space="0" w:color="auto"/>
              <w:right w:val="single" w:sz="8" w:space="0" w:color="auto"/>
            </w:tcBorders>
            <w:shd w:val="clear" w:color="auto" w:fill="E7E6E6" w:themeFill="background2"/>
            <w:hideMark/>
          </w:tcPr>
          <w:p w14:paraId="3BF278B6" w14:textId="44242F3F" w:rsidR="00ED239A" w:rsidRPr="00F22A71" w:rsidRDefault="00B56537" w:rsidP="00B56537">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E</w:t>
            </w:r>
            <w:r w:rsidR="00ED239A">
              <w:rPr>
                <w:rFonts w:ascii="Calibri" w:eastAsia="Times New Roman" w:hAnsi="Calibri" w:cs="Times New Roman"/>
                <w:b/>
                <w:bCs/>
                <w:sz w:val="18"/>
                <w:szCs w:val="18"/>
              </w:rPr>
              <w:t>ducational Functioning Level (EFL)</w:t>
            </w:r>
          </w:p>
        </w:tc>
        <w:tc>
          <w:tcPr>
            <w:tcW w:w="2524" w:type="dxa"/>
            <w:tcBorders>
              <w:top w:val="single" w:sz="4" w:space="0" w:color="auto"/>
              <w:left w:val="nil"/>
              <w:bottom w:val="single" w:sz="8" w:space="0" w:color="auto"/>
              <w:right w:val="single" w:sz="8" w:space="0" w:color="auto"/>
            </w:tcBorders>
            <w:shd w:val="clear" w:color="auto" w:fill="E7E6E6" w:themeFill="background2"/>
          </w:tcPr>
          <w:p w14:paraId="08F1FEE7" w14:textId="77777777" w:rsidR="00B56537" w:rsidRDefault="00E27B3F" w:rsidP="00B56537">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201</w:t>
            </w:r>
            <w:r w:rsidR="00A27659">
              <w:rPr>
                <w:rFonts w:ascii="Calibri" w:eastAsia="Times New Roman" w:hAnsi="Calibri" w:cs="Times New Roman"/>
                <w:sz w:val="18"/>
                <w:szCs w:val="18"/>
              </w:rPr>
              <w:t>9</w:t>
            </w:r>
            <w:r>
              <w:rPr>
                <w:rFonts w:ascii="Calibri" w:eastAsia="Times New Roman" w:hAnsi="Calibri" w:cs="Times New Roman"/>
                <w:sz w:val="18"/>
                <w:szCs w:val="18"/>
              </w:rPr>
              <w:t>-20</w:t>
            </w:r>
            <w:r w:rsidR="00A27659">
              <w:rPr>
                <w:rFonts w:ascii="Calibri" w:eastAsia="Times New Roman" w:hAnsi="Calibri" w:cs="Times New Roman"/>
                <w:sz w:val="18"/>
                <w:szCs w:val="18"/>
              </w:rPr>
              <w:t>20</w:t>
            </w:r>
            <w:r w:rsidR="00ED239A">
              <w:rPr>
                <w:rFonts w:ascii="Calibri" w:eastAsia="Times New Roman" w:hAnsi="Calibri" w:cs="Times New Roman"/>
                <w:sz w:val="18"/>
                <w:szCs w:val="18"/>
              </w:rPr>
              <w:t xml:space="preserve"> EFL Enrollment</w:t>
            </w:r>
          </w:p>
          <w:p w14:paraId="600DAB84" w14:textId="310418EF" w:rsidR="00ED239A" w:rsidRPr="00F22A71" w:rsidRDefault="00ED239A" w:rsidP="00B56537">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 (</w:t>
            </w:r>
            <w:r w:rsidRPr="00AB0BE3">
              <w:rPr>
                <w:rFonts w:ascii="Calibri" w:eastAsia="Times New Roman" w:hAnsi="Calibri" w:cs="Times New Roman"/>
                <w:i/>
                <w:sz w:val="18"/>
                <w:szCs w:val="18"/>
              </w:rPr>
              <w:t>12 hours +</w:t>
            </w:r>
            <w:r w:rsidR="00B56537">
              <w:rPr>
                <w:rFonts w:ascii="Calibri" w:eastAsia="Times New Roman" w:hAnsi="Calibri" w:cs="Times New Roman"/>
                <w:i/>
                <w:sz w:val="18"/>
                <w:szCs w:val="18"/>
              </w:rPr>
              <w:t>)</w:t>
            </w:r>
          </w:p>
        </w:tc>
        <w:tc>
          <w:tcPr>
            <w:tcW w:w="2982" w:type="dxa"/>
            <w:tcBorders>
              <w:top w:val="single" w:sz="4" w:space="0" w:color="auto"/>
              <w:left w:val="nil"/>
              <w:bottom w:val="single" w:sz="8" w:space="0" w:color="auto"/>
              <w:right w:val="single" w:sz="8" w:space="0" w:color="auto"/>
            </w:tcBorders>
            <w:shd w:val="clear" w:color="auto" w:fill="E7E6E6" w:themeFill="background2"/>
          </w:tcPr>
          <w:p w14:paraId="0779D926" w14:textId="327CF747" w:rsidR="00ED239A" w:rsidRDefault="00E27B3F" w:rsidP="00B56537">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201</w:t>
            </w:r>
            <w:r w:rsidR="00A27659">
              <w:rPr>
                <w:rFonts w:ascii="Calibri" w:eastAsia="Times New Roman" w:hAnsi="Calibri" w:cs="Times New Roman"/>
                <w:sz w:val="18"/>
                <w:szCs w:val="18"/>
              </w:rPr>
              <w:t>9</w:t>
            </w:r>
            <w:r>
              <w:rPr>
                <w:rFonts w:ascii="Calibri" w:eastAsia="Times New Roman" w:hAnsi="Calibri" w:cs="Times New Roman"/>
                <w:sz w:val="18"/>
                <w:szCs w:val="18"/>
              </w:rPr>
              <w:t>-20</w:t>
            </w:r>
            <w:r w:rsidR="00A27659">
              <w:rPr>
                <w:rFonts w:ascii="Calibri" w:eastAsia="Times New Roman" w:hAnsi="Calibri" w:cs="Times New Roman"/>
                <w:sz w:val="18"/>
                <w:szCs w:val="18"/>
              </w:rPr>
              <w:t>20</w:t>
            </w:r>
            <w:r w:rsidR="00ED239A">
              <w:rPr>
                <w:rFonts w:ascii="Calibri" w:eastAsia="Times New Roman" w:hAnsi="Calibri" w:cs="Times New Roman"/>
                <w:sz w:val="18"/>
                <w:szCs w:val="18"/>
              </w:rPr>
              <w:t xml:space="preserve"> EFL</w:t>
            </w:r>
            <w:r w:rsidR="00ED239A" w:rsidRPr="00F22A71">
              <w:rPr>
                <w:rFonts w:ascii="Calibri" w:eastAsia="Times New Roman" w:hAnsi="Calibri" w:cs="Times New Roman"/>
                <w:sz w:val="18"/>
                <w:szCs w:val="18"/>
              </w:rPr>
              <w:t xml:space="preserve"> </w:t>
            </w:r>
            <w:r w:rsidR="00ED239A">
              <w:rPr>
                <w:rFonts w:ascii="Calibri" w:eastAsia="Times New Roman" w:hAnsi="Calibri" w:cs="Times New Roman"/>
                <w:sz w:val="18"/>
                <w:szCs w:val="18"/>
              </w:rPr>
              <w:t>Completion Percentage</w:t>
            </w:r>
          </w:p>
        </w:tc>
      </w:tr>
      <w:tr w:rsidR="00ED239A" w:rsidRPr="003D3387" w14:paraId="3CD22B11" w14:textId="77777777" w:rsidTr="00777BC2">
        <w:trPr>
          <w:trHeight w:val="250"/>
        </w:trPr>
        <w:tc>
          <w:tcPr>
            <w:tcW w:w="4350" w:type="dxa"/>
            <w:tcBorders>
              <w:top w:val="nil"/>
              <w:left w:val="single" w:sz="8" w:space="0" w:color="auto"/>
              <w:bottom w:val="single" w:sz="8" w:space="0" w:color="auto"/>
              <w:right w:val="single" w:sz="8" w:space="0" w:color="auto"/>
            </w:tcBorders>
            <w:shd w:val="clear" w:color="auto" w:fill="DEEAF6" w:themeFill="accent1" w:themeFillTint="33"/>
            <w:vAlign w:val="bottom"/>
            <w:hideMark/>
          </w:tcPr>
          <w:p w14:paraId="659C39B9"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Beginning Literacy</w:t>
            </w:r>
          </w:p>
        </w:tc>
        <w:tc>
          <w:tcPr>
            <w:tcW w:w="2524" w:type="dxa"/>
            <w:tcBorders>
              <w:top w:val="nil"/>
              <w:left w:val="nil"/>
              <w:bottom w:val="single" w:sz="8" w:space="0" w:color="auto"/>
              <w:right w:val="single" w:sz="8" w:space="0" w:color="auto"/>
            </w:tcBorders>
            <w:shd w:val="clear" w:color="auto" w:fill="DEEAF6" w:themeFill="accent1" w:themeFillTint="33"/>
          </w:tcPr>
          <w:p w14:paraId="355F6977"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285DCC5B" w14:textId="746D31DC"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732</w:t>
            </w:r>
          </w:p>
        </w:tc>
        <w:tc>
          <w:tcPr>
            <w:tcW w:w="2982" w:type="dxa"/>
            <w:tcBorders>
              <w:top w:val="nil"/>
              <w:left w:val="nil"/>
              <w:bottom w:val="single" w:sz="8" w:space="0" w:color="auto"/>
              <w:right w:val="single" w:sz="8" w:space="0" w:color="auto"/>
            </w:tcBorders>
            <w:shd w:val="clear" w:color="auto" w:fill="DEEAF6" w:themeFill="accent1" w:themeFillTint="33"/>
          </w:tcPr>
          <w:p w14:paraId="31757588"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022ABE46" w14:textId="5A52C3A9"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28.69%</w:t>
            </w:r>
          </w:p>
        </w:tc>
      </w:tr>
      <w:tr w:rsidR="00ED239A" w:rsidRPr="003D3387" w14:paraId="4B9292C7" w14:textId="77777777" w:rsidTr="00777BC2">
        <w:trPr>
          <w:trHeight w:val="20"/>
        </w:trPr>
        <w:tc>
          <w:tcPr>
            <w:tcW w:w="4350" w:type="dxa"/>
            <w:tcBorders>
              <w:top w:val="nil"/>
              <w:left w:val="single" w:sz="8" w:space="0" w:color="auto"/>
              <w:bottom w:val="single" w:sz="8" w:space="0" w:color="auto"/>
              <w:right w:val="single" w:sz="8" w:space="0" w:color="auto"/>
            </w:tcBorders>
            <w:shd w:val="clear" w:color="auto" w:fill="FFFFFF" w:themeFill="background1"/>
            <w:vAlign w:val="bottom"/>
            <w:hideMark/>
          </w:tcPr>
          <w:p w14:paraId="65CB0863" w14:textId="77777777" w:rsidR="00ED239A" w:rsidRPr="00F22A71" w:rsidRDefault="00ED239A" w:rsidP="00B56537">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Beginning Basic</w:t>
            </w:r>
          </w:p>
        </w:tc>
        <w:tc>
          <w:tcPr>
            <w:tcW w:w="2524" w:type="dxa"/>
            <w:tcBorders>
              <w:top w:val="nil"/>
              <w:left w:val="nil"/>
              <w:bottom w:val="single" w:sz="8" w:space="0" w:color="auto"/>
              <w:right w:val="single" w:sz="8" w:space="0" w:color="auto"/>
            </w:tcBorders>
            <w:shd w:val="clear" w:color="auto" w:fill="FFFFFF" w:themeFill="background1"/>
          </w:tcPr>
          <w:p w14:paraId="390DAD4F"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5CBE8664" w14:textId="7D32F77C"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4,976</w:t>
            </w:r>
          </w:p>
        </w:tc>
        <w:tc>
          <w:tcPr>
            <w:tcW w:w="2982" w:type="dxa"/>
            <w:tcBorders>
              <w:top w:val="nil"/>
              <w:left w:val="nil"/>
              <w:bottom w:val="single" w:sz="8" w:space="0" w:color="auto"/>
              <w:right w:val="single" w:sz="8" w:space="0" w:color="auto"/>
            </w:tcBorders>
            <w:shd w:val="clear" w:color="auto" w:fill="FFFFFF" w:themeFill="background1"/>
          </w:tcPr>
          <w:p w14:paraId="14368A3D"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0B620CD2" w14:textId="3E7CAD43"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27.49%</w:t>
            </w:r>
          </w:p>
        </w:tc>
      </w:tr>
      <w:tr w:rsidR="00ED239A" w:rsidRPr="003D3387" w14:paraId="012FE118" w14:textId="77777777" w:rsidTr="00777BC2">
        <w:trPr>
          <w:trHeight w:val="20"/>
        </w:trPr>
        <w:tc>
          <w:tcPr>
            <w:tcW w:w="4350" w:type="dxa"/>
            <w:tcBorders>
              <w:top w:val="nil"/>
              <w:left w:val="single" w:sz="8" w:space="0" w:color="auto"/>
              <w:bottom w:val="single" w:sz="8" w:space="0" w:color="auto"/>
              <w:right w:val="single" w:sz="8" w:space="0" w:color="auto"/>
            </w:tcBorders>
            <w:shd w:val="clear" w:color="auto" w:fill="DEEAF6" w:themeFill="accent1" w:themeFillTint="33"/>
            <w:vAlign w:val="bottom"/>
            <w:hideMark/>
          </w:tcPr>
          <w:p w14:paraId="5115C8DD" w14:textId="77777777" w:rsidR="00ED239A" w:rsidRPr="00F22A71" w:rsidRDefault="00ED239A" w:rsidP="00B56537">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Intermediate Low</w:t>
            </w:r>
          </w:p>
        </w:tc>
        <w:tc>
          <w:tcPr>
            <w:tcW w:w="2524" w:type="dxa"/>
            <w:tcBorders>
              <w:top w:val="nil"/>
              <w:left w:val="nil"/>
              <w:bottom w:val="single" w:sz="8" w:space="0" w:color="auto"/>
              <w:right w:val="single" w:sz="8" w:space="0" w:color="auto"/>
            </w:tcBorders>
            <w:shd w:val="clear" w:color="auto" w:fill="DEEAF6" w:themeFill="accent1" w:themeFillTint="33"/>
          </w:tcPr>
          <w:p w14:paraId="4BC7A7B1"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4579103C" w14:textId="7D2486E2"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4,949</w:t>
            </w:r>
          </w:p>
        </w:tc>
        <w:tc>
          <w:tcPr>
            <w:tcW w:w="2982" w:type="dxa"/>
            <w:tcBorders>
              <w:top w:val="nil"/>
              <w:left w:val="nil"/>
              <w:bottom w:val="single" w:sz="8" w:space="0" w:color="auto"/>
              <w:right w:val="single" w:sz="8" w:space="0" w:color="auto"/>
            </w:tcBorders>
            <w:shd w:val="clear" w:color="auto" w:fill="DEEAF6" w:themeFill="accent1" w:themeFillTint="33"/>
          </w:tcPr>
          <w:p w14:paraId="5070ACF5"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0DA800B5" w14:textId="06E2E74D"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30.59%</w:t>
            </w:r>
          </w:p>
        </w:tc>
      </w:tr>
      <w:tr w:rsidR="00ED239A" w:rsidRPr="003D3387" w14:paraId="1307FCA5" w14:textId="77777777" w:rsidTr="00777BC2">
        <w:trPr>
          <w:trHeight w:val="20"/>
        </w:trPr>
        <w:tc>
          <w:tcPr>
            <w:tcW w:w="4350" w:type="dxa"/>
            <w:tcBorders>
              <w:top w:val="nil"/>
              <w:left w:val="single" w:sz="8" w:space="0" w:color="auto"/>
              <w:bottom w:val="single" w:sz="8" w:space="0" w:color="auto"/>
              <w:right w:val="single" w:sz="8" w:space="0" w:color="auto"/>
            </w:tcBorders>
            <w:shd w:val="clear" w:color="auto" w:fill="FFFFFF" w:themeFill="background1"/>
            <w:vAlign w:val="bottom"/>
            <w:hideMark/>
          </w:tcPr>
          <w:p w14:paraId="24DB182F"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Intermediate High</w:t>
            </w:r>
          </w:p>
        </w:tc>
        <w:tc>
          <w:tcPr>
            <w:tcW w:w="2524" w:type="dxa"/>
            <w:tcBorders>
              <w:top w:val="nil"/>
              <w:left w:val="nil"/>
              <w:bottom w:val="single" w:sz="8" w:space="0" w:color="auto"/>
              <w:right w:val="single" w:sz="8" w:space="0" w:color="auto"/>
            </w:tcBorders>
            <w:shd w:val="clear" w:color="auto" w:fill="FFFFFF" w:themeFill="background1"/>
          </w:tcPr>
          <w:p w14:paraId="043B7AFA"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78E974C3" w14:textId="69EFAC6C"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2,514</w:t>
            </w:r>
          </w:p>
        </w:tc>
        <w:tc>
          <w:tcPr>
            <w:tcW w:w="2982" w:type="dxa"/>
            <w:tcBorders>
              <w:top w:val="nil"/>
              <w:left w:val="nil"/>
              <w:bottom w:val="single" w:sz="8" w:space="0" w:color="auto"/>
              <w:right w:val="single" w:sz="8" w:space="0" w:color="auto"/>
            </w:tcBorders>
            <w:shd w:val="clear" w:color="auto" w:fill="FFFFFF" w:themeFill="background1"/>
          </w:tcPr>
          <w:p w14:paraId="2F315E48"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13FAAE93" w14:textId="51DE065A"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35.18%</w:t>
            </w:r>
          </w:p>
        </w:tc>
      </w:tr>
      <w:tr w:rsidR="00ED239A" w:rsidRPr="003D3387" w14:paraId="67EF3677" w14:textId="77777777" w:rsidTr="00777BC2">
        <w:trPr>
          <w:trHeight w:val="20"/>
        </w:trPr>
        <w:tc>
          <w:tcPr>
            <w:tcW w:w="4350" w:type="dxa"/>
            <w:tcBorders>
              <w:top w:val="nil"/>
              <w:left w:val="single" w:sz="8" w:space="0" w:color="auto"/>
              <w:bottom w:val="single" w:sz="8" w:space="0" w:color="auto"/>
              <w:right w:val="single" w:sz="8" w:space="0" w:color="auto"/>
            </w:tcBorders>
            <w:shd w:val="clear" w:color="auto" w:fill="DEEAF6" w:themeFill="accent1" w:themeFillTint="33"/>
            <w:vAlign w:val="bottom"/>
            <w:hideMark/>
          </w:tcPr>
          <w:p w14:paraId="3474051B"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ASE Low</w:t>
            </w:r>
          </w:p>
        </w:tc>
        <w:tc>
          <w:tcPr>
            <w:tcW w:w="2524" w:type="dxa"/>
            <w:tcBorders>
              <w:top w:val="nil"/>
              <w:left w:val="nil"/>
              <w:bottom w:val="single" w:sz="8" w:space="0" w:color="auto"/>
              <w:right w:val="single" w:sz="8" w:space="0" w:color="auto"/>
            </w:tcBorders>
            <w:shd w:val="clear" w:color="auto" w:fill="DEEAF6" w:themeFill="accent1" w:themeFillTint="33"/>
          </w:tcPr>
          <w:p w14:paraId="61F4BB5E"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04C4E7D5" w14:textId="7F31DF37"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590</w:t>
            </w:r>
          </w:p>
        </w:tc>
        <w:tc>
          <w:tcPr>
            <w:tcW w:w="2982" w:type="dxa"/>
            <w:tcBorders>
              <w:top w:val="nil"/>
              <w:left w:val="nil"/>
              <w:bottom w:val="single" w:sz="8" w:space="0" w:color="auto"/>
              <w:right w:val="single" w:sz="8" w:space="0" w:color="auto"/>
            </w:tcBorders>
            <w:shd w:val="clear" w:color="auto" w:fill="DEEAF6" w:themeFill="accent1" w:themeFillTint="33"/>
          </w:tcPr>
          <w:p w14:paraId="10FE9253"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1140399F" w14:textId="13F249A1"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29.54%</w:t>
            </w:r>
          </w:p>
        </w:tc>
      </w:tr>
      <w:tr w:rsidR="00ED239A" w:rsidRPr="003D3387" w14:paraId="1594AE50" w14:textId="77777777" w:rsidTr="00777BC2">
        <w:trPr>
          <w:trHeight w:val="20"/>
        </w:trPr>
        <w:tc>
          <w:tcPr>
            <w:tcW w:w="4350" w:type="dxa"/>
            <w:tcBorders>
              <w:top w:val="nil"/>
              <w:left w:val="single" w:sz="8" w:space="0" w:color="auto"/>
              <w:bottom w:val="single" w:sz="8" w:space="0" w:color="auto"/>
              <w:right w:val="single" w:sz="8" w:space="0" w:color="auto"/>
            </w:tcBorders>
            <w:shd w:val="clear" w:color="auto" w:fill="auto"/>
            <w:vAlign w:val="bottom"/>
          </w:tcPr>
          <w:p w14:paraId="5F096BCA"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Pr>
                <w:rFonts w:ascii="Calibri" w:eastAsia="Times New Roman" w:hAnsi="Calibri" w:cs="Times New Roman"/>
                <w:i/>
                <w:color w:val="000000"/>
                <w:sz w:val="16"/>
                <w:szCs w:val="16"/>
              </w:rPr>
              <w:t>ASE High</w:t>
            </w:r>
          </w:p>
        </w:tc>
        <w:tc>
          <w:tcPr>
            <w:tcW w:w="2524" w:type="dxa"/>
            <w:tcBorders>
              <w:top w:val="nil"/>
              <w:left w:val="nil"/>
              <w:bottom w:val="single" w:sz="8" w:space="0" w:color="auto"/>
              <w:right w:val="single" w:sz="8" w:space="0" w:color="auto"/>
            </w:tcBorders>
            <w:shd w:val="clear" w:color="auto" w:fill="auto"/>
          </w:tcPr>
          <w:p w14:paraId="07790831"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493BF12E" w14:textId="144329F0" w:rsidR="00ED239A"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170</w:t>
            </w:r>
          </w:p>
        </w:tc>
        <w:tc>
          <w:tcPr>
            <w:tcW w:w="2982" w:type="dxa"/>
            <w:tcBorders>
              <w:top w:val="nil"/>
              <w:left w:val="nil"/>
              <w:bottom w:val="single" w:sz="8" w:space="0" w:color="auto"/>
              <w:right w:val="single" w:sz="8" w:space="0" w:color="auto"/>
            </w:tcBorders>
          </w:tcPr>
          <w:p w14:paraId="1BA04017"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6DC765AE" w14:textId="7D35BDCD"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22.94%</w:t>
            </w:r>
          </w:p>
        </w:tc>
      </w:tr>
      <w:tr w:rsidR="00ED239A" w:rsidRPr="003D3387" w14:paraId="28B72163" w14:textId="77777777" w:rsidTr="00777BC2">
        <w:trPr>
          <w:trHeight w:val="60"/>
        </w:trPr>
        <w:tc>
          <w:tcPr>
            <w:tcW w:w="4350" w:type="dxa"/>
            <w:tcBorders>
              <w:top w:val="nil"/>
              <w:left w:val="single" w:sz="8" w:space="0" w:color="auto"/>
              <w:bottom w:val="single" w:sz="8" w:space="0" w:color="auto"/>
              <w:right w:val="single" w:sz="8" w:space="0" w:color="auto"/>
            </w:tcBorders>
            <w:shd w:val="clear" w:color="auto" w:fill="7F7F7F" w:themeFill="text1" w:themeFillTint="80"/>
            <w:vAlign w:val="bottom"/>
          </w:tcPr>
          <w:p w14:paraId="03EFEE56" w14:textId="77777777" w:rsidR="00ED239A" w:rsidRDefault="00ED239A" w:rsidP="000122FC">
            <w:pPr>
              <w:spacing w:after="0" w:line="240" w:lineRule="auto"/>
              <w:rPr>
                <w:rFonts w:ascii="Calibri" w:eastAsia="Times New Roman" w:hAnsi="Calibri" w:cs="Times New Roman"/>
                <w:i/>
                <w:color w:val="000000"/>
                <w:sz w:val="16"/>
                <w:szCs w:val="16"/>
              </w:rPr>
            </w:pPr>
          </w:p>
        </w:tc>
        <w:tc>
          <w:tcPr>
            <w:tcW w:w="2524" w:type="dxa"/>
            <w:tcBorders>
              <w:top w:val="nil"/>
              <w:left w:val="nil"/>
              <w:bottom w:val="single" w:sz="8" w:space="0" w:color="auto"/>
              <w:right w:val="single" w:sz="8" w:space="0" w:color="auto"/>
            </w:tcBorders>
            <w:shd w:val="clear" w:color="auto" w:fill="7F7F7F" w:themeFill="text1" w:themeFillTint="80"/>
          </w:tcPr>
          <w:p w14:paraId="2697005B" w14:textId="77777777" w:rsidR="00ED239A" w:rsidRDefault="00ED239A" w:rsidP="000122FC">
            <w:pPr>
              <w:spacing w:after="0" w:line="240" w:lineRule="auto"/>
              <w:jc w:val="center"/>
              <w:rPr>
                <w:rFonts w:ascii="Calibri" w:eastAsia="Times New Roman" w:hAnsi="Calibri" w:cs="Times New Roman"/>
                <w:color w:val="000000"/>
                <w:sz w:val="16"/>
                <w:szCs w:val="16"/>
              </w:rPr>
            </w:pPr>
          </w:p>
        </w:tc>
        <w:tc>
          <w:tcPr>
            <w:tcW w:w="2982" w:type="dxa"/>
            <w:tcBorders>
              <w:top w:val="nil"/>
              <w:left w:val="nil"/>
              <w:bottom w:val="single" w:sz="8" w:space="0" w:color="auto"/>
              <w:right w:val="single" w:sz="8" w:space="0" w:color="auto"/>
            </w:tcBorders>
            <w:shd w:val="clear" w:color="auto" w:fill="7F7F7F" w:themeFill="text1" w:themeFillTint="80"/>
          </w:tcPr>
          <w:p w14:paraId="09F575DC" w14:textId="77777777" w:rsidR="00ED239A" w:rsidRDefault="00ED239A" w:rsidP="000122FC">
            <w:pPr>
              <w:spacing w:after="0" w:line="240" w:lineRule="auto"/>
              <w:jc w:val="center"/>
              <w:rPr>
                <w:rFonts w:ascii="Calibri" w:eastAsia="Times New Roman" w:hAnsi="Calibri" w:cs="Times New Roman"/>
                <w:color w:val="000000"/>
                <w:sz w:val="16"/>
                <w:szCs w:val="16"/>
              </w:rPr>
            </w:pPr>
          </w:p>
        </w:tc>
      </w:tr>
      <w:tr w:rsidR="00ED239A" w:rsidRPr="003D3387" w14:paraId="25DCE781" w14:textId="77777777" w:rsidTr="00777BC2">
        <w:trPr>
          <w:trHeight w:val="213"/>
        </w:trPr>
        <w:tc>
          <w:tcPr>
            <w:tcW w:w="4350" w:type="dxa"/>
            <w:tcBorders>
              <w:top w:val="nil"/>
              <w:left w:val="single" w:sz="8" w:space="0" w:color="auto"/>
              <w:bottom w:val="single" w:sz="8" w:space="0" w:color="auto"/>
              <w:right w:val="single" w:sz="8" w:space="0" w:color="auto"/>
            </w:tcBorders>
            <w:shd w:val="clear" w:color="auto" w:fill="A8D08D" w:themeFill="accent6" w:themeFillTint="99"/>
            <w:vAlign w:val="bottom"/>
            <w:hideMark/>
          </w:tcPr>
          <w:p w14:paraId="148889BE"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Beginning Literacy</w:t>
            </w:r>
          </w:p>
        </w:tc>
        <w:tc>
          <w:tcPr>
            <w:tcW w:w="2524" w:type="dxa"/>
            <w:tcBorders>
              <w:top w:val="nil"/>
              <w:left w:val="nil"/>
              <w:bottom w:val="single" w:sz="8" w:space="0" w:color="auto"/>
              <w:right w:val="single" w:sz="8" w:space="0" w:color="auto"/>
            </w:tcBorders>
            <w:shd w:val="clear" w:color="auto" w:fill="A8D08D" w:themeFill="accent6" w:themeFillTint="99"/>
          </w:tcPr>
          <w:p w14:paraId="5518E908"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37B0BBC9" w14:textId="099DFEAE"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579</w:t>
            </w:r>
          </w:p>
        </w:tc>
        <w:tc>
          <w:tcPr>
            <w:tcW w:w="2982" w:type="dxa"/>
            <w:tcBorders>
              <w:top w:val="nil"/>
              <w:left w:val="nil"/>
              <w:bottom w:val="single" w:sz="8" w:space="0" w:color="auto"/>
              <w:right w:val="single" w:sz="8" w:space="0" w:color="auto"/>
            </w:tcBorders>
            <w:shd w:val="clear" w:color="auto" w:fill="A8D08D" w:themeFill="accent6" w:themeFillTint="99"/>
          </w:tcPr>
          <w:p w14:paraId="1220ECBB"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14268C31" w14:textId="33CBDA47"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23.18%</w:t>
            </w:r>
          </w:p>
        </w:tc>
      </w:tr>
      <w:tr w:rsidR="00ED239A" w:rsidRPr="003D3387" w14:paraId="07708EA5" w14:textId="77777777" w:rsidTr="00777BC2">
        <w:trPr>
          <w:trHeight w:val="253"/>
        </w:trPr>
        <w:tc>
          <w:tcPr>
            <w:tcW w:w="4350" w:type="dxa"/>
            <w:tcBorders>
              <w:top w:val="nil"/>
              <w:left w:val="single" w:sz="8" w:space="0" w:color="auto"/>
              <w:bottom w:val="single" w:sz="8" w:space="0" w:color="auto"/>
              <w:right w:val="single" w:sz="8" w:space="0" w:color="auto"/>
            </w:tcBorders>
            <w:shd w:val="clear" w:color="auto" w:fill="auto"/>
            <w:vAlign w:val="bottom"/>
            <w:hideMark/>
          </w:tcPr>
          <w:p w14:paraId="26AA0014"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Low Beginning</w:t>
            </w:r>
          </w:p>
        </w:tc>
        <w:tc>
          <w:tcPr>
            <w:tcW w:w="2524" w:type="dxa"/>
            <w:tcBorders>
              <w:top w:val="nil"/>
              <w:left w:val="nil"/>
              <w:bottom w:val="single" w:sz="8" w:space="0" w:color="auto"/>
              <w:right w:val="single" w:sz="8" w:space="0" w:color="auto"/>
            </w:tcBorders>
            <w:shd w:val="clear" w:color="auto" w:fill="auto"/>
          </w:tcPr>
          <w:p w14:paraId="62D1CC4A"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25972899" w14:textId="4E224269"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319</w:t>
            </w:r>
          </w:p>
        </w:tc>
        <w:tc>
          <w:tcPr>
            <w:tcW w:w="2982" w:type="dxa"/>
            <w:tcBorders>
              <w:top w:val="nil"/>
              <w:left w:val="nil"/>
              <w:bottom w:val="single" w:sz="8" w:space="0" w:color="auto"/>
              <w:right w:val="single" w:sz="8" w:space="0" w:color="auto"/>
            </w:tcBorders>
          </w:tcPr>
          <w:p w14:paraId="32FD36C5"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372AFE75" w14:textId="3EC9CB7E"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31.03%</w:t>
            </w:r>
          </w:p>
        </w:tc>
      </w:tr>
      <w:tr w:rsidR="00ED239A" w:rsidRPr="003D3387" w14:paraId="09CECDA0" w14:textId="77777777" w:rsidTr="00777BC2">
        <w:trPr>
          <w:trHeight w:val="253"/>
        </w:trPr>
        <w:tc>
          <w:tcPr>
            <w:tcW w:w="4350" w:type="dxa"/>
            <w:tcBorders>
              <w:top w:val="nil"/>
              <w:left w:val="single" w:sz="8" w:space="0" w:color="auto"/>
              <w:bottom w:val="single" w:sz="8" w:space="0" w:color="auto"/>
              <w:right w:val="single" w:sz="8" w:space="0" w:color="auto"/>
            </w:tcBorders>
            <w:shd w:val="clear" w:color="auto" w:fill="A8D08D" w:themeFill="accent6" w:themeFillTint="99"/>
            <w:vAlign w:val="bottom"/>
            <w:hideMark/>
          </w:tcPr>
          <w:p w14:paraId="041D1601"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High Beginning</w:t>
            </w:r>
          </w:p>
        </w:tc>
        <w:tc>
          <w:tcPr>
            <w:tcW w:w="2524" w:type="dxa"/>
            <w:tcBorders>
              <w:top w:val="nil"/>
              <w:left w:val="nil"/>
              <w:bottom w:val="single" w:sz="8" w:space="0" w:color="auto"/>
              <w:right w:val="single" w:sz="8" w:space="0" w:color="auto"/>
            </w:tcBorders>
            <w:shd w:val="clear" w:color="auto" w:fill="A8D08D" w:themeFill="accent6" w:themeFillTint="99"/>
          </w:tcPr>
          <w:p w14:paraId="6AE1D178"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742DCFC4" w14:textId="543D00A5"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340</w:t>
            </w:r>
          </w:p>
        </w:tc>
        <w:tc>
          <w:tcPr>
            <w:tcW w:w="2982" w:type="dxa"/>
            <w:tcBorders>
              <w:top w:val="nil"/>
              <w:left w:val="nil"/>
              <w:bottom w:val="single" w:sz="8" w:space="0" w:color="auto"/>
              <w:right w:val="single" w:sz="8" w:space="0" w:color="auto"/>
            </w:tcBorders>
            <w:shd w:val="clear" w:color="auto" w:fill="A8D08D" w:themeFill="accent6" w:themeFillTint="99"/>
          </w:tcPr>
          <w:p w14:paraId="1C88970E"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3F17A983" w14:textId="7CBFF260"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30.59%</w:t>
            </w:r>
          </w:p>
        </w:tc>
      </w:tr>
      <w:tr w:rsidR="00ED239A" w:rsidRPr="003D3387" w14:paraId="4B2DEC4B" w14:textId="77777777" w:rsidTr="00777BC2">
        <w:trPr>
          <w:trHeight w:val="236"/>
        </w:trPr>
        <w:tc>
          <w:tcPr>
            <w:tcW w:w="4350" w:type="dxa"/>
            <w:tcBorders>
              <w:top w:val="nil"/>
              <w:left w:val="single" w:sz="8" w:space="0" w:color="auto"/>
              <w:bottom w:val="single" w:sz="8" w:space="0" w:color="auto"/>
              <w:right w:val="single" w:sz="8" w:space="0" w:color="auto"/>
            </w:tcBorders>
            <w:shd w:val="clear" w:color="auto" w:fill="auto"/>
            <w:vAlign w:val="bottom"/>
            <w:hideMark/>
          </w:tcPr>
          <w:p w14:paraId="5DB32E18"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Low Intermediate</w:t>
            </w:r>
          </w:p>
        </w:tc>
        <w:tc>
          <w:tcPr>
            <w:tcW w:w="2524" w:type="dxa"/>
            <w:tcBorders>
              <w:top w:val="nil"/>
              <w:left w:val="nil"/>
              <w:bottom w:val="single" w:sz="8" w:space="0" w:color="auto"/>
              <w:right w:val="single" w:sz="8" w:space="0" w:color="auto"/>
            </w:tcBorders>
            <w:shd w:val="clear" w:color="auto" w:fill="auto"/>
          </w:tcPr>
          <w:p w14:paraId="3DFC26AF"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0D64EADC" w14:textId="0ED7BAEF"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351</w:t>
            </w:r>
          </w:p>
        </w:tc>
        <w:tc>
          <w:tcPr>
            <w:tcW w:w="2982" w:type="dxa"/>
            <w:tcBorders>
              <w:top w:val="nil"/>
              <w:left w:val="nil"/>
              <w:bottom w:val="single" w:sz="8" w:space="0" w:color="auto"/>
              <w:right w:val="single" w:sz="8" w:space="0" w:color="auto"/>
            </w:tcBorders>
          </w:tcPr>
          <w:p w14:paraId="7392A0E2"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5B32E953" w14:textId="32900AA9"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26.50%</w:t>
            </w:r>
          </w:p>
        </w:tc>
      </w:tr>
      <w:tr w:rsidR="00ED239A" w:rsidRPr="003D3387" w14:paraId="1888B97E" w14:textId="77777777" w:rsidTr="00777BC2">
        <w:trPr>
          <w:trHeight w:val="272"/>
        </w:trPr>
        <w:tc>
          <w:tcPr>
            <w:tcW w:w="4350" w:type="dxa"/>
            <w:tcBorders>
              <w:top w:val="nil"/>
              <w:left w:val="single" w:sz="8" w:space="0" w:color="auto"/>
              <w:bottom w:val="single" w:sz="8" w:space="0" w:color="auto"/>
              <w:right w:val="single" w:sz="8" w:space="0" w:color="auto"/>
            </w:tcBorders>
            <w:shd w:val="clear" w:color="auto" w:fill="A8D08D" w:themeFill="accent6" w:themeFillTint="99"/>
            <w:vAlign w:val="bottom"/>
            <w:hideMark/>
          </w:tcPr>
          <w:p w14:paraId="3BCEDC9A"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High Intermediate</w:t>
            </w:r>
          </w:p>
        </w:tc>
        <w:tc>
          <w:tcPr>
            <w:tcW w:w="2524" w:type="dxa"/>
            <w:tcBorders>
              <w:top w:val="nil"/>
              <w:left w:val="nil"/>
              <w:bottom w:val="single" w:sz="8" w:space="0" w:color="auto"/>
              <w:right w:val="single" w:sz="8" w:space="0" w:color="auto"/>
            </w:tcBorders>
            <w:shd w:val="clear" w:color="auto" w:fill="A8D08D" w:themeFill="accent6" w:themeFillTint="99"/>
          </w:tcPr>
          <w:p w14:paraId="09F1D43E"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1D680F44" w14:textId="6B3C4FE5" w:rsidR="00ED239A" w:rsidRPr="00F22A71"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263</w:t>
            </w:r>
          </w:p>
        </w:tc>
        <w:tc>
          <w:tcPr>
            <w:tcW w:w="2982" w:type="dxa"/>
            <w:tcBorders>
              <w:top w:val="nil"/>
              <w:left w:val="nil"/>
              <w:bottom w:val="single" w:sz="8" w:space="0" w:color="auto"/>
              <w:right w:val="single" w:sz="8" w:space="0" w:color="auto"/>
            </w:tcBorders>
            <w:shd w:val="clear" w:color="auto" w:fill="A8D08D" w:themeFill="accent6" w:themeFillTint="99"/>
          </w:tcPr>
          <w:p w14:paraId="3C1E54C8"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72A75585" w14:textId="5C9A53FC"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27.38%</w:t>
            </w:r>
          </w:p>
        </w:tc>
      </w:tr>
      <w:tr w:rsidR="00ED239A" w:rsidRPr="003D3387" w14:paraId="7475F1BA" w14:textId="77777777" w:rsidTr="00777BC2">
        <w:trPr>
          <w:trHeight w:val="272"/>
        </w:trPr>
        <w:tc>
          <w:tcPr>
            <w:tcW w:w="4350" w:type="dxa"/>
            <w:tcBorders>
              <w:top w:val="nil"/>
              <w:left w:val="single" w:sz="8" w:space="0" w:color="auto"/>
              <w:bottom w:val="single" w:sz="8" w:space="0" w:color="auto"/>
              <w:right w:val="single" w:sz="8" w:space="0" w:color="auto"/>
            </w:tcBorders>
            <w:shd w:val="clear" w:color="auto" w:fill="FFFFFF" w:themeFill="background1"/>
            <w:vAlign w:val="bottom"/>
          </w:tcPr>
          <w:p w14:paraId="5040D916" w14:textId="77777777" w:rsidR="00ED239A" w:rsidRPr="00F22A71" w:rsidRDefault="00ED239A" w:rsidP="00B56537">
            <w:pPr>
              <w:spacing w:after="0" w:line="240" w:lineRule="auto"/>
              <w:jc w:val="both"/>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Advanced</w:t>
            </w:r>
          </w:p>
        </w:tc>
        <w:tc>
          <w:tcPr>
            <w:tcW w:w="2524" w:type="dxa"/>
            <w:tcBorders>
              <w:top w:val="nil"/>
              <w:left w:val="nil"/>
              <w:bottom w:val="single" w:sz="8" w:space="0" w:color="auto"/>
              <w:right w:val="single" w:sz="8" w:space="0" w:color="auto"/>
            </w:tcBorders>
            <w:shd w:val="clear" w:color="auto" w:fill="FFFFFF" w:themeFill="background1"/>
          </w:tcPr>
          <w:p w14:paraId="62D4F150" w14:textId="77777777" w:rsidR="00ED239A" w:rsidRDefault="00ED239A" w:rsidP="000122FC">
            <w:pPr>
              <w:spacing w:after="0" w:line="240" w:lineRule="auto"/>
              <w:jc w:val="center"/>
              <w:rPr>
                <w:rFonts w:ascii="Calibri" w:eastAsia="Times New Roman" w:hAnsi="Calibri" w:cs="Times New Roman"/>
                <w:color w:val="000000"/>
                <w:sz w:val="16"/>
                <w:szCs w:val="16"/>
              </w:rPr>
            </w:pPr>
          </w:p>
          <w:p w14:paraId="1E3A7F7A" w14:textId="08013328" w:rsidR="00ED239A" w:rsidRDefault="00A27659"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142</w:t>
            </w:r>
          </w:p>
        </w:tc>
        <w:tc>
          <w:tcPr>
            <w:tcW w:w="2982" w:type="dxa"/>
            <w:tcBorders>
              <w:top w:val="nil"/>
              <w:left w:val="nil"/>
              <w:bottom w:val="single" w:sz="8" w:space="0" w:color="auto"/>
              <w:right w:val="single" w:sz="8" w:space="0" w:color="auto"/>
            </w:tcBorders>
            <w:shd w:val="clear" w:color="auto" w:fill="FFFFFF" w:themeFill="background1"/>
          </w:tcPr>
          <w:p w14:paraId="453936FF" w14:textId="77777777" w:rsidR="00ED239A" w:rsidRPr="00F22A71" w:rsidRDefault="00ED239A" w:rsidP="000122FC">
            <w:pPr>
              <w:spacing w:after="0" w:line="240" w:lineRule="auto"/>
              <w:jc w:val="center"/>
              <w:rPr>
                <w:rFonts w:ascii="Calibri" w:eastAsia="Times New Roman" w:hAnsi="Calibri" w:cs="Times New Roman"/>
                <w:color w:val="000000"/>
                <w:sz w:val="16"/>
                <w:szCs w:val="16"/>
              </w:rPr>
            </w:pPr>
          </w:p>
          <w:p w14:paraId="3EFFC002" w14:textId="475026A2" w:rsidR="00ED239A" w:rsidRDefault="0023366D" w:rsidP="000122F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28.87%</w:t>
            </w:r>
          </w:p>
        </w:tc>
      </w:tr>
      <w:tr w:rsidR="00ED239A" w:rsidRPr="003D3387" w14:paraId="59081ABB" w14:textId="77777777" w:rsidTr="00777BC2">
        <w:trPr>
          <w:trHeight w:val="277"/>
        </w:trPr>
        <w:tc>
          <w:tcPr>
            <w:tcW w:w="4350" w:type="dxa"/>
            <w:tcBorders>
              <w:top w:val="nil"/>
              <w:left w:val="single" w:sz="8" w:space="0" w:color="auto"/>
              <w:bottom w:val="single" w:sz="8" w:space="0" w:color="auto"/>
              <w:right w:val="single" w:sz="8" w:space="0" w:color="auto"/>
            </w:tcBorders>
            <w:shd w:val="clear" w:color="auto" w:fill="FFE599" w:themeFill="accent4" w:themeFillTint="66"/>
            <w:vAlign w:val="bottom"/>
          </w:tcPr>
          <w:p w14:paraId="6BC76713" w14:textId="77777777" w:rsidR="00ED239A" w:rsidRPr="0073457A" w:rsidRDefault="00ED239A" w:rsidP="000122FC">
            <w:pPr>
              <w:spacing w:after="0" w:line="240" w:lineRule="auto"/>
              <w:rPr>
                <w:rFonts w:ascii="Calibri" w:eastAsia="Times New Roman" w:hAnsi="Calibri" w:cs="Times New Roman"/>
                <w:b/>
                <w:i/>
                <w:color w:val="000000"/>
                <w:sz w:val="16"/>
                <w:szCs w:val="16"/>
              </w:rPr>
            </w:pPr>
            <w:r w:rsidRPr="0073457A">
              <w:rPr>
                <w:rFonts w:ascii="Calibri" w:eastAsia="Times New Roman" w:hAnsi="Calibri" w:cs="Times New Roman"/>
                <w:b/>
                <w:i/>
                <w:color w:val="000000"/>
                <w:sz w:val="16"/>
                <w:szCs w:val="16"/>
              </w:rPr>
              <w:t>Total</w:t>
            </w:r>
          </w:p>
        </w:tc>
        <w:tc>
          <w:tcPr>
            <w:tcW w:w="2524" w:type="dxa"/>
            <w:tcBorders>
              <w:top w:val="nil"/>
              <w:left w:val="nil"/>
              <w:bottom w:val="single" w:sz="8" w:space="0" w:color="auto"/>
              <w:right w:val="single" w:sz="8" w:space="0" w:color="auto"/>
            </w:tcBorders>
            <w:shd w:val="clear" w:color="auto" w:fill="FFE599" w:themeFill="accent4" w:themeFillTint="66"/>
          </w:tcPr>
          <w:p w14:paraId="5BCA4381" w14:textId="77777777" w:rsidR="00ED239A" w:rsidRPr="0073457A" w:rsidRDefault="00ED239A" w:rsidP="000122FC">
            <w:pPr>
              <w:spacing w:after="0" w:line="240" w:lineRule="auto"/>
              <w:jc w:val="center"/>
              <w:rPr>
                <w:rFonts w:ascii="Calibri" w:eastAsia="Times New Roman" w:hAnsi="Calibri" w:cs="Times New Roman"/>
                <w:b/>
                <w:color w:val="000000"/>
                <w:sz w:val="16"/>
                <w:szCs w:val="16"/>
              </w:rPr>
            </w:pPr>
          </w:p>
          <w:p w14:paraId="798C9296" w14:textId="0915E14E" w:rsidR="00ED239A" w:rsidRPr="0073457A" w:rsidRDefault="0023366D" w:rsidP="000122FC">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15,925</w:t>
            </w:r>
          </w:p>
        </w:tc>
        <w:tc>
          <w:tcPr>
            <w:tcW w:w="2982" w:type="dxa"/>
            <w:tcBorders>
              <w:top w:val="nil"/>
              <w:left w:val="nil"/>
              <w:bottom w:val="single" w:sz="8" w:space="0" w:color="auto"/>
              <w:right w:val="single" w:sz="8" w:space="0" w:color="auto"/>
            </w:tcBorders>
            <w:shd w:val="clear" w:color="auto" w:fill="FFE599" w:themeFill="accent4" w:themeFillTint="66"/>
          </w:tcPr>
          <w:p w14:paraId="20E085D2" w14:textId="77777777" w:rsidR="00ED239A" w:rsidRPr="0073457A" w:rsidRDefault="00ED239A" w:rsidP="000122FC">
            <w:pPr>
              <w:spacing w:after="0" w:line="240" w:lineRule="auto"/>
              <w:jc w:val="center"/>
              <w:rPr>
                <w:rFonts w:ascii="Calibri" w:eastAsia="Times New Roman" w:hAnsi="Calibri" w:cs="Times New Roman"/>
                <w:b/>
                <w:color w:val="000000"/>
                <w:sz w:val="16"/>
                <w:szCs w:val="16"/>
              </w:rPr>
            </w:pPr>
          </w:p>
          <w:p w14:paraId="607A908B" w14:textId="232D0F4E" w:rsidR="00ED239A" w:rsidRPr="0073457A" w:rsidRDefault="0023366D" w:rsidP="000122FC">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29.69%</w:t>
            </w:r>
          </w:p>
        </w:tc>
      </w:tr>
    </w:tbl>
    <w:p w14:paraId="26F669E7" w14:textId="77777777" w:rsidR="001A659B" w:rsidRDefault="001A659B" w:rsidP="007F532E">
      <w:pPr>
        <w:autoSpaceDE w:val="0"/>
        <w:autoSpaceDN w:val="0"/>
        <w:adjustRightInd w:val="0"/>
        <w:spacing w:after="0" w:line="240" w:lineRule="auto"/>
      </w:pPr>
    </w:p>
    <w:p w14:paraId="28B3EFC2" w14:textId="61879CEA" w:rsidR="0096589D" w:rsidRDefault="0023366D" w:rsidP="0023366D">
      <w:pPr>
        <w:pBdr>
          <w:bottom w:val="single" w:sz="4" w:space="1" w:color="auto"/>
        </w:pBdr>
        <w:autoSpaceDE w:val="0"/>
        <w:autoSpaceDN w:val="0"/>
        <w:adjustRightInd w:val="0"/>
        <w:spacing w:after="0" w:line="240" w:lineRule="auto"/>
        <w:jc w:val="both"/>
        <w:rPr>
          <w:rFonts w:cs="Times New Roman"/>
          <w:bCs/>
        </w:rPr>
      </w:pPr>
      <w:r>
        <w:rPr>
          <w:rFonts w:cs="Times New Roman"/>
          <w:bCs/>
        </w:rPr>
        <w:t>Important state data which is not reflected in the NRS data is the number of work ready certifications earned through adult education.  Two of the state recognized certifications in Alabama are the National Career Readiness Certification (NCRC) and the Alabama Certified Work</w:t>
      </w:r>
      <w:r w:rsidR="00777BC2">
        <w:rPr>
          <w:rFonts w:cs="Times New Roman"/>
          <w:bCs/>
        </w:rPr>
        <w:t xml:space="preserve">er </w:t>
      </w:r>
      <w:r>
        <w:rPr>
          <w:rFonts w:cs="Times New Roman"/>
          <w:bCs/>
        </w:rPr>
        <w:t xml:space="preserve">Credential (ACWC).  </w:t>
      </w:r>
      <w:bookmarkStart w:id="0" w:name="_Hlk58405692"/>
      <w:r>
        <w:rPr>
          <w:rFonts w:cs="Times New Roman"/>
          <w:bCs/>
        </w:rPr>
        <w:t xml:space="preserve">The number of National Career Readiness Certifications (NCRC) for PY 19-20, based on the ACT Work Keys assessments, was 2,198.  Also, the state awarded over 450 ACWC to adult education students that completed the Ready to Work program.  In addition, </w:t>
      </w:r>
    </w:p>
    <w:p w14:paraId="076891A8" w14:textId="19668FC3" w:rsidR="0023366D" w:rsidRDefault="0023366D" w:rsidP="0023366D">
      <w:pPr>
        <w:pBdr>
          <w:bottom w:val="single" w:sz="4" w:space="1" w:color="auto"/>
        </w:pBdr>
        <w:autoSpaceDE w:val="0"/>
        <w:autoSpaceDN w:val="0"/>
        <w:adjustRightInd w:val="0"/>
        <w:spacing w:after="0" w:line="240" w:lineRule="auto"/>
        <w:jc w:val="both"/>
        <w:rPr>
          <w:rFonts w:cs="Times New Roman"/>
          <w:bCs/>
        </w:rPr>
      </w:pPr>
      <w:r>
        <w:rPr>
          <w:rFonts w:cs="Times New Roman"/>
          <w:bCs/>
        </w:rPr>
        <w:t xml:space="preserve">adult education awarded 1,381 NorthStar Digital Literacy certificates, 63 NCCER Certifications, 758 FDIC, 260 </w:t>
      </w:r>
      <w:r w:rsidR="007C6FD6">
        <w:rPr>
          <w:rFonts w:cs="Times New Roman"/>
          <w:bCs/>
        </w:rPr>
        <w:t>Microsoft, 49</w:t>
      </w:r>
      <w:r>
        <w:rPr>
          <w:rFonts w:cs="Times New Roman"/>
          <w:bCs/>
        </w:rPr>
        <w:t xml:space="preserve"> SERV safe, 117 </w:t>
      </w:r>
      <w:r w:rsidR="00232566">
        <w:rPr>
          <w:rFonts w:cs="Times New Roman"/>
          <w:bCs/>
        </w:rPr>
        <w:t>CNA, 67</w:t>
      </w:r>
      <w:r>
        <w:rPr>
          <w:rFonts w:cs="Times New Roman"/>
          <w:bCs/>
        </w:rPr>
        <w:t xml:space="preserve"> OSHA, 72 MSSC, and hundreds of other industry recognized certifications. </w:t>
      </w:r>
    </w:p>
    <w:p w14:paraId="0EA5FDD1" w14:textId="77777777" w:rsidR="00777BC2" w:rsidRDefault="00777BC2" w:rsidP="0023366D">
      <w:pPr>
        <w:pBdr>
          <w:bottom w:val="single" w:sz="4" w:space="1" w:color="auto"/>
        </w:pBdr>
        <w:autoSpaceDE w:val="0"/>
        <w:autoSpaceDN w:val="0"/>
        <w:adjustRightInd w:val="0"/>
        <w:spacing w:after="0" w:line="240" w:lineRule="auto"/>
        <w:jc w:val="both"/>
        <w:rPr>
          <w:rFonts w:cs="Times New Roman"/>
          <w:bCs/>
        </w:rPr>
      </w:pPr>
    </w:p>
    <w:bookmarkEnd w:id="0"/>
    <w:p w14:paraId="0C62A02B" w14:textId="67B31568" w:rsidR="007412E3" w:rsidRDefault="007412E3" w:rsidP="00211AB0">
      <w:pPr>
        <w:autoSpaceDE w:val="0"/>
        <w:autoSpaceDN w:val="0"/>
        <w:adjustRightInd w:val="0"/>
        <w:spacing w:after="0" w:line="240" w:lineRule="auto"/>
        <w:jc w:val="both"/>
        <w:rPr>
          <w:rFonts w:cs="Times New Roman"/>
          <w:bCs/>
        </w:rPr>
      </w:pPr>
    </w:p>
    <w:p w14:paraId="503A8240" w14:textId="777333E3" w:rsidR="0023366D" w:rsidRDefault="00A10781" w:rsidP="0023366D">
      <w:pPr>
        <w:autoSpaceDE w:val="0"/>
        <w:autoSpaceDN w:val="0"/>
        <w:adjustRightInd w:val="0"/>
        <w:spacing w:after="0" w:line="240" w:lineRule="auto"/>
        <w:jc w:val="both"/>
        <w:rPr>
          <w:rFonts w:cs="Times New Roman"/>
          <w:bCs/>
        </w:rPr>
      </w:pPr>
      <w:r>
        <w:rPr>
          <w:rFonts w:cs="Times New Roman"/>
          <w:bCs/>
        </w:rPr>
        <w:t xml:space="preserve">  </w:t>
      </w:r>
      <w:r w:rsidR="0023366D">
        <w:rPr>
          <w:rFonts w:cs="Times New Roman"/>
          <w:bCs/>
        </w:rPr>
        <w:t>T</w:t>
      </w:r>
      <w:r w:rsidR="0023366D" w:rsidRPr="007D3516">
        <w:rPr>
          <w:rFonts w:cs="Times New Roman"/>
          <w:bCs/>
        </w:rPr>
        <w:t>he functionality and reporting features</w:t>
      </w:r>
      <w:r w:rsidR="0023366D">
        <w:rPr>
          <w:rFonts w:cs="Times New Roman"/>
          <w:bCs/>
        </w:rPr>
        <w:t xml:space="preserve"> of the management information</w:t>
      </w:r>
      <w:r w:rsidR="0023366D" w:rsidRPr="007D3516">
        <w:rPr>
          <w:rFonts w:cs="Times New Roman"/>
          <w:bCs/>
        </w:rPr>
        <w:t xml:space="preserve"> system </w:t>
      </w:r>
      <w:r w:rsidR="0023366D">
        <w:rPr>
          <w:rFonts w:cs="Times New Roman"/>
          <w:bCs/>
        </w:rPr>
        <w:t>continues to advance. T</w:t>
      </w:r>
      <w:r w:rsidR="0023366D" w:rsidRPr="007D3516">
        <w:rPr>
          <w:rFonts w:cs="Times New Roman"/>
          <w:bCs/>
        </w:rPr>
        <w:t>he Alabama Adult Education System for Accountability and Perfor</w:t>
      </w:r>
      <w:r w:rsidR="0023366D">
        <w:rPr>
          <w:rFonts w:cs="Times New Roman"/>
          <w:bCs/>
        </w:rPr>
        <w:t xml:space="preserve">mance (AAESAP) is designed </w:t>
      </w:r>
      <w:r w:rsidR="0023366D" w:rsidRPr="007D3516">
        <w:rPr>
          <w:rFonts w:cs="Times New Roman"/>
          <w:bCs/>
        </w:rPr>
        <w:t>to capture the requirements under WIOA and</w:t>
      </w:r>
      <w:r w:rsidR="0023366D">
        <w:rPr>
          <w:rFonts w:cs="Times New Roman"/>
          <w:bCs/>
        </w:rPr>
        <w:t xml:space="preserve"> to</w:t>
      </w:r>
      <w:r w:rsidR="0023366D" w:rsidRPr="007D3516">
        <w:rPr>
          <w:rFonts w:cs="Times New Roman"/>
          <w:bCs/>
        </w:rPr>
        <w:t xml:space="preserve"> provide i</w:t>
      </w:r>
      <w:r w:rsidR="0023366D">
        <w:rPr>
          <w:rFonts w:cs="Times New Roman"/>
          <w:bCs/>
        </w:rPr>
        <w:t xml:space="preserve">nstant feedback </w:t>
      </w:r>
      <w:r w:rsidR="0023366D" w:rsidRPr="007D3516">
        <w:rPr>
          <w:rFonts w:cs="Times New Roman"/>
          <w:bCs/>
        </w:rPr>
        <w:t>for d</w:t>
      </w:r>
      <w:r w:rsidR="0023366D">
        <w:rPr>
          <w:rFonts w:cs="Times New Roman"/>
          <w:bCs/>
        </w:rPr>
        <w:t>ata analysis. During the last year, AAESAP functionality was enhanced to increase system features via the dashboard, alerts, and report pages, and an option for public enrollment was added. The public enrollment option allows students to self-enroll online for Adult Education services. This enhancement to the system helps to ensure students can register even during times when sites are closed, which has proven especially useful during the pandemic. The dashboard emphasizes federal and state performance goals for both the program year and state fiscal year. The automated</w:t>
      </w:r>
      <w:r w:rsidR="0023366D" w:rsidRPr="007D3516">
        <w:rPr>
          <w:rFonts w:cs="Times New Roman"/>
          <w:bCs/>
        </w:rPr>
        <w:t xml:space="preserve"> alert</w:t>
      </w:r>
      <w:r w:rsidR="0023366D">
        <w:rPr>
          <w:rFonts w:cs="Times New Roman"/>
          <w:bCs/>
        </w:rPr>
        <w:t xml:space="preserve">s page provides notification of program inquiries, GEDs earned, public enrollments entered in, student testing needs, and attendance issues. </w:t>
      </w:r>
    </w:p>
    <w:p w14:paraId="74B96518" w14:textId="77777777" w:rsidR="0023366D" w:rsidRDefault="0023366D" w:rsidP="0023366D">
      <w:pPr>
        <w:autoSpaceDE w:val="0"/>
        <w:autoSpaceDN w:val="0"/>
        <w:adjustRightInd w:val="0"/>
        <w:spacing w:after="0" w:line="240" w:lineRule="auto"/>
        <w:jc w:val="both"/>
        <w:rPr>
          <w:rFonts w:cs="Times New Roman"/>
          <w:bCs/>
        </w:rPr>
      </w:pPr>
    </w:p>
    <w:p w14:paraId="4D2E6337" w14:textId="6FA3A9E3" w:rsidR="0023366D" w:rsidRDefault="0023366D" w:rsidP="0023366D">
      <w:pPr>
        <w:autoSpaceDE w:val="0"/>
        <w:autoSpaceDN w:val="0"/>
        <w:adjustRightInd w:val="0"/>
        <w:spacing w:after="0" w:line="240" w:lineRule="auto"/>
        <w:jc w:val="both"/>
        <w:rPr>
          <w:rFonts w:cs="Times New Roman"/>
          <w:bCs/>
        </w:rPr>
      </w:pPr>
      <w:r>
        <w:rPr>
          <w:rFonts w:cs="Times New Roman"/>
          <w:bCs/>
        </w:rPr>
        <w:t xml:space="preserve">The detailed local and state reports available through AAESAP allow programs to self-assess and make data informed decisions for improving services.  The financial reporting module tracks the allocation and expenditure of funds.  During the 2018-19 program year an entire resource section was created within AAESAP to allow instant access to national and state specific informational sources and training presentations. The resource section is updated regularly to ensure access to relevant, current content. These updates have been especially helpful to program directors and practitioners during the COVID-19 pandemic. </w:t>
      </w:r>
    </w:p>
    <w:p w14:paraId="07A1162B" w14:textId="77777777" w:rsidR="0023366D" w:rsidRDefault="0023366D" w:rsidP="0023366D">
      <w:pPr>
        <w:pBdr>
          <w:bottom w:val="single" w:sz="4" w:space="1" w:color="auto"/>
        </w:pBdr>
        <w:autoSpaceDE w:val="0"/>
        <w:autoSpaceDN w:val="0"/>
        <w:adjustRightInd w:val="0"/>
        <w:spacing w:after="0" w:line="240" w:lineRule="auto"/>
        <w:jc w:val="both"/>
        <w:rPr>
          <w:rFonts w:cs="Times New Roman"/>
          <w:bCs/>
        </w:rPr>
      </w:pPr>
    </w:p>
    <w:p w14:paraId="3F5D3C59" w14:textId="79C34059" w:rsidR="0023366D" w:rsidRDefault="0023366D" w:rsidP="0023366D">
      <w:pPr>
        <w:pBdr>
          <w:bottom w:val="single" w:sz="4" w:space="1" w:color="auto"/>
        </w:pBdr>
        <w:autoSpaceDE w:val="0"/>
        <w:autoSpaceDN w:val="0"/>
        <w:adjustRightInd w:val="0"/>
        <w:spacing w:after="0" w:line="240" w:lineRule="auto"/>
        <w:jc w:val="both"/>
        <w:rPr>
          <w:rFonts w:cs="Times New Roman"/>
          <w:bCs/>
        </w:rPr>
      </w:pPr>
      <w:r>
        <w:rPr>
          <w:rFonts w:cs="Times New Roman"/>
          <w:bCs/>
        </w:rPr>
        <w:t>Additional information for consideration is the state’s labor force participation rate</w:t>
      </w:r>
      <w:r w:rsidR="00C7321B">
        <w:rPr>
          <w:rFonts w:cs="Times New Roman"/>
          <w:bCs/>
        </w:rPr>
        <w:t>.  At 57.4%, Alabama has</w:t>
      </w:r>
      <w:r>
        <w:rPr>
          <w:rFonts w:cs="Times New Roman"/>
          <w:bCs/>
        </w:rPr>
        <w:t xml:space="preserve"> </w:t>
      </w:r>
      <w:r w:rsidR="00C7321B">
        <w:rPr>
          <w:rFonts w:cs="Times New Roman"/>
          <w:bCs/>
        </w:rPr>
        <w:t xml:space="preserve">one of the five </w:t>
      </w:r>
      <w:r>
        <w:rPr>
          <w:rFonts w:cs="Times New Roman"/>
          <w:bCs/>
        </w:rPr>
        <w:t>lowest</w:t>
      </w:r>
      <w:r w:rsidR="00C7321B">
        <w:rPr>
          <w:rFonts w:cs="Times New Roman"/>
          <w:bCs/>
        </w:rPr>
        <w:t xml:space="preserve"> labor force participation rates in the nation</w:t>
      </w:r>
      <w:r>
        <w:rPr>
          <w:rFonts w:cs="Times New Roman"/>
          <w:bCs/>
        </w:rPr>
        <w:t>.</w:t>
      </w:r>
      <w:r w:rsidR="00777BC2">
        <w:rPr>
          <w:rFonts w:cs="Times New Roman"/>
          <w:bCs/>
        </w:rPr>
        <w:t xml:space="preserve">  </w:t>
      </w:r>
      <w:r>
        <w:rPr>
          <w:rFonts w:cs="Times New Roman"/>
          <w:bCs/>
        </w:rPr>
        <w:t>The challenge is to reach those that are underemployed, unemployed, and those that are not currently participating in the labor force.  Employment is a motive to engage students in adult education, but it can also be a factor in students leaving the program before meeting performance measures.</w:t>
      </w:r>
      <w:r w:rsidR="00777BC2">
        <w:rPr>
          <w:rFonts w:cs="Times New Roman"/>
          <w:bCs/>
        </w:rPr>
        <w:t xml:space="preserve">  </w:t>
      </w:r>
      <w:r>
        <w:rPr>
          <w:rFonts w:cs="Times New Roman"/>
          <w:bCs/>
        </w:rPr>
        <w:t xml:space="preserve">This type of influence must be taken into perspective when evaluating the success of a program.  </w:t>
      </w:r>
    </w:p>
    <w:p w14:paraId="76E0F832" w14:textId="77777777" w:rsidR="0023366D" w:rsidRDefault="0023366D" w:rsidP="0023366D">
      <w:pPr>
        <w:pBdr>
          <w:bottom w:val="single" w:sz="4" w:space="1" w:color="auto"/>
        </w:pBdr>
        <w:autoSpaceDE w:val="0"/>
        <w:autoSpaceDN w:val="0"/>
        <w:adjustRightInd w:val="0"/>
        <w:spacing w:after="0" w:line="240" w:lineRule="auto"/>
        <w:jc w:val="both"/>
        <w:rPr>
          <w:rFonts w:cs="Times New Roman"/>
          <w:bCs/>
        </w:rPr>
      </w:pPr>
    </w:p>
    <w:p w14:paraId="5926A9A7" w14:textId="7AEA6CC3" w:rsidR="0023366D" w:rsidRDefault="0023366D" w:rsidP="001C6AD7">
      <w:pPr>
        <w:shd w:val="clear" w:color="auto" w:fill="E7E6E6" w:themeFill="background2"/>
        <w:autoSpaceDE w:val="0"/>
        <w:autoSpaceDN w:val="0"/>
        <w:adjustRightInd w:val="0"/>
        <w:spacing w:after="0" w:line="240" w:lineRule="auto"/>
        <w:jc w:val="both"/>
        <w:rPr>
          <w:rFonts w:cs="Times New Roman"/>
          <w:bCs/>
        </w:rPr>
      </w:pPr>
      <w:r w:rsidRPr="007C6FD6">
        <w:rPr>
          <w:rFonts w:cs="Times New Roman"/>
          <w:bCs/>
          <w:u w:val="single"/>
        </w:rPr>
        <w:t xml:space="preserve"> </w:t>
      </w:r>
    </w:p>
    <w:p w14:paraId="306D3A7F" w14:textId="77777777" w:rsidR="007F532E" w:rsidRPr="007D3516" w:rsidRDefault="007F532E" w:rsidP="001C6AD7">
      <w:pPr>
        <w:pBdr>
          <w:bottom w:val="single" w:sz="4" w:space="1" w:color="auto"/>
        </w:pBdr>
        <w:shd w:val="clear" w:color="auto" w:fill="E7E6E6" w:themeFill="background2"/>
        <w:autoSpaceDE w:val="0"/>
        <w:autoSpaceDN w:val="0"/>
        <w:adjustRightInd w:val="0"/>
        <w:spacing w:after="0" w:line="240" w:lineRule="auto"/>
        <w:jc w:val="both"/>
        <w:rPr>
          <w:rFonts w:cs="Times New Roman"/>
          <w:b/>
          <w:bCs/>
        </w:rPr>
      </w:pPr>
      <w:r w:rsidRPr="007D3516">
        <w:rPr>
          <w:rFonts w:cs="Times New Roman"/>
          <w:b/>
          <w:bCs/>
        </w:rPr>
        <w:t>Integration with One-stop Partners</w:t>
      </w:r>
    </w:p>
    <w:p w14:paraId="6969EC7B" w14:textId="77777777" w:rsidR="007F532E" w:rsidRDefault="007F532E" w:rsidP="001C6AD7">
      <w:pPr>
        <w:pBdr>
          <w:bottom w:val="single" w:sz="4" w:space="1" w:color="auto"/>
        </w:pBdr>
        <w:shd w:val="clear" w:color="auto" w:fill="E7E6E6" w:themeFill="background2"/>
        <w:autoSpaceDE w:val="0"/>
        <w:autoSpaceDN w:val="0"/>
        <w:adjustRightInd w:val="0"/>
        <w:spacing w:after="0" w:line="240" w:lineRule="auto"/>
        <w:jc w:val="both"/>
        <w:rPr>
          <w:rFonts w:cs="Times New Roman"/>
        </w:rPr>
      </w:pPr>
      <w:r w:rsidRPr="005366BC">
        <w:rPr>
          <w:rFonts w:cs="Times New Roman"/>
          <w:i/>
        </w:rPr>
        <w:t>Describe how the State eligible agency, as the entity r</w:t>
      </w:r>
      <w:r w:rsidR="00291B6B" w:rsidRPr="005366BC">
        <w:rPr>
          <w:rFonts w:cs="Times New Roman"/>
          <w:i/>
        </w:rPr>
        <w:t xml:space="preserve">esponsible for meeting one-stop </w:t>
      </w:r>
      <w:r w:rsidRPr="005366BC">
        <w:rPr>
          <w:rFonts w:cs="Times New Roman"/>
          <w:i/>
        </w:rPr>
        <w:t xml:space="preserve">requirements under 34 CFR part 463, subpart J, carries out or </w:t>
      </w:r>
      <w:r w:rsidR="00291B6B" w:rsidRPr="005366BC">
        <w:rPr>
          <w:rFonts w:cs="Times New Roman"/>
          <w:i/>
        </w:rPr>
        <w:t xml:space="preserve">delegates its required one-stop </w:t>
      </w:r>
      <w:r w:rsidRPr="005366BC">
        <w:rPr>
          <w:rFonts w:cs="Times New Roman"/>
          <w:i/>
        </w:rPr>
        <w:t>roles to eligible providers. Describe the applicable career services that are provided in the one</w:t>
      </w:r>
      <w:r w:rsidR="00291B6B" w:rsidRPr="005366BC">
        <w:rPr>
          <w:rFonts w:cs="Times New Roman"/>
          <w:i/>
        </w:rPr>
        <w:t xml:space="preserve"> stop </w:t>
      </w:r>
      <w:r w:rsidRPr="005366BC">
        <w:rPr>
          <w:rFonts w:cs="Times New Roman"/>
          <w:i/>
        </w:rPr>
        <w:t>system. Describe how infrastructure costs are supported through State and local options</w:t>
      </w:r>
      <w:r w:rsidRPr="007D3516">
        <w:rPr>
          <w:rFonts w:cs="Times New Roman"/>
        </w:rPr>
        <w:t>.</w:t>
      </w:r>
    </w:p>
    <w:p w14:paraId="1FA21C6D" w14:textId="77777777" w:rsidR="00AC2E77" w:rsidRPr="007D3516" w:rsidRDefault="00AC2E77" w:rsidP="001C6AD7">
      <w:pPr>
        <w:pBdr>
          <w:bottom w:val="single" w:sz="4" w:space="1" w:color="auto"/>
        </w:pBdr>
        <w:shd w:val="clear" w:color="auto" w:fill="E7E6E6" w:themeFill="background2"/>
        <w:autoSpaceDE w:val="0"/>
        <w:autoSpaceDN w:val="0"/>
        <w:adjustRightInd w:val="0"/>
        <w:spacing w:after="0" w:line="240" w:lineRule="auto"/>
        <w:jc w:val="both"/>
        <w:rPr>
          <w:rFonts w:cs="Times New Roman"/>
        </w:rPr>
      </w:pPr>
    </w:p>
    <w:p w14:paraId="29295119" w14:textId="77777777" w:rsidR="000A2A86" w:rsidRPr="007D3516" w:rsidRDefault="000A2A86" w:rsidP="00211AB0">
      <w:pPr>
        <w:autoSpaceDE w:val="0"/>
        <w:autoSpaceDN w:val="0"/>
        <w:adjustRightInd w:val="0"/>
        <w:spacing w:after="0" w:line="240" w:lineRule="auto"/>
        <w:jc w:val="both"/>
        <w:rPr>
          <w:rFonts w:cs="Times New Roman"/>
          <w:bCs/>
        </w:rPr>
      </w:pPr>
    </w:p>
    <w:p w14:paraId="3118FB35" w14:textId="4ED41DD8" w:rsidR="004147F6" w:rsidRDefault="00920205" w:rsidP="00211AB0">
      <w:pPr>
        <w:autoSpaceDE w:val="0"/>
        <w:autoSpaceDN w:val="0"/>
        <w:adjustRightInd w:val="0"/>
        <w:spacing w:after="0" w:line="240" w:lineRule="auto"/>
        <w:jc w:val="both"/>
        <w:rPr>
          <w:rFonts w:cs="Times New Roman"/>
          <w:bCs/>
        </w:rPr>
      </w:pPr>
      <w:r w:rsidRPr="007D3516">
        <w:rPr>
          <w:rFonts w:cs="Times New Roman"/>
          <w:bCs/>
        </w:rPr>
        <w:t>The Alabama Community Coll</w:t>
      </w:r>
      <w:r w:rsidR="003A1445">
        <w:rPr>
          <w:rFonts w:cs="Times New Roman"/>
          <w:bCs/>
        </w:rPr>
        <w:t xml:space="preserve">ege System, Adult Education Division </w:t>
      </w:r>
      <w:r w:rsidRPr="007D3516">
        <w:rPr>
          <w:rFonts w:cs="Times New Roman"/>
          <w:bCs/>
        </w:rPr>
        <w:t>is responsible for the requirements under 34 CFR part 463, subpart J, and carries out this responsibility.  Adult Education provides adult educa</w:t>
      </w:r>
      <w:r w:rsidR="00937FEC" w:rsidRPr="007D3516">
        <w:rPr>
          <w:rFonts w:cs="Times New Roman"/>
          <w:bCs/>
        </w:rPr>
        <w:t>tion services as stated under 34CFR part 463, subpart J,</w:t>
      </w:r>
      <w:r w:rsidRPr="007D3516">
        <w:rPr>
          <w:rFonts w:cs="Times New Roman"/>
          <w:bCs/>
        </w:rPr>
        <w:t xml:space="preserve"> throughout the state in </w:t>
      </w:r>
      <w:r w:rsidR="003A1445">
        <w:rPr>
          <w:rFonts w:cs="Times New Roman"/>
          <w:bCs/>
        </w:rPr>
        <w:t>the designated comprehensiv</w:t>
      </w:r>
      <w:r w:rsidR="00697A26">
        <w:rPr>
          <w:rFonts w:cs="Times New Roman"/>
          <w:bCs/>
        </w:rPr>
        <w:t xml:space="preserve">e career centers and </w:t>
      </w:r>
      <w:r w:rsidR="003A1445">
        <w:rPr>
          <w:rFonts w:cs="Times New Roman"/>
          <w:bCs/>
        </w:rPr>
        <w:t xml:space="preserve">in the </w:t>
      </w:r>
      <w:r w:rsidR="007C6FD6">
        <w:rPr>
          <w:rFonts w:cs="Times New Roman"/>
          <w:bCs/>
        </w:rPr>
        <w:t>affiliate,</w:t>
      </w:r>
      <w:r w:rsidR="003A1445">
        <w:rPr>
          <w:rFonts w:cs="Times New Roman"/>
          <w:bCs/>
        </w:rPr>
        <w:t xml:space="preserve"> </w:t>
      </w:r>
      <w:r w:rsidRPr="007D3516">
        <w:rPr>
          <w:rFonts w:cs="Times New Roman"/>
          <w:bCs/>
        </w:rPr>
        <w:t>career centers</w:t>
      </w:r>
      <w:r w:rsidR="003A1445">
        <w:rPr>
          <w:rFonts w:cs="Times New Roman"/>
          <w:bCs/>
        </w:rPr>
        <w:t xml:space="preserve"> where possible.   </w:t>
      </w:r>
      <w:r w:rsidR="001701AE">
        <w:rPr>
          <w:rFonts w:cs="Times New Roman"/>
          <w:bCs/>
        </w:rPr>
        <w:t>Adult Education has fulfilled a vital part of the assessment and training role in the career centers.  The relationship between the partners is one that fosters and demands collaborative teamwork</w:t>
      </w:r>
      <w:r w:rsidRPr="007D3516">
        <w:rPr>
          <w:rFonts w:cs="Times New Roman"/>
          <w:bCs/>
        </w:rPr>
        <w:t xml:space="preserve">.  </w:t>
      </w:r>
      <w:r w:rsidR="003D55C5">
        <w:rPr>
          <w:rFonts w:cs="Times New Roman"/>
          <w:bCs/>
        </w:rPr>
        <w:t xml:space="preserve">Education and training services </w:t>
      </w:r>
      <w:r w:rsidR="001701AE">
        <w:rPr>
          <w:rFonts w:cs="Times New Roman"/>
          <w:bCs/>
        </w:rPr>
        <w:t xml:space="preserve">between partners are </w:t>
      </w:r>
      <w:r w:rsidR="003D55C5">
        <w:rPr>
          <w:rFonts w:cs="Times New Roman"/>
          <w:bCs/>
        </w:rPr>
        <w:t xml:space="preserve">provided through direct referral and reverse referral.  </w:t>
      </w:r>
      <w:r w:rsidR="00EE67DA">
        <w:rPr>
          <w:rFonts w:cs="Times New Roman"/>
          <w:bCs/>
        </w:rPr>
        <w:t xml:space="preserve">The services provided in the one stop system is described in more detail in the State Leadership section under </w:t>
      </w:r>
      <w:r w:rsidR="007E3312">
        <w:rPr>
          <w:rFonts w:cs="Times New Roman"/>
          <w:bCs/>
        </w:rPr>
        <w:t>Alignment</w:t>
      </w:r>
      <w:r w:rsidR="00EE67DA">
        <w:rPr>
          <w:rFonts w:cs="Times New Roman"/>
          <w:bCs/>
        </w:rPr>
        <w:t xml:space="preserve">. </w:t>
      </w:r>
    </w:p>
    <w:p w14:paraId="2669F2E7" w14:textId="77777777" w:rsidR="004147F6" w:rsidRDefault="004147F6" w:rsidP="00211AB0">
      <w:pPr>
        <w:autoSpaceDE w:val="0"/>
        <w:autoSpaceDN w:val="0"/>
        <w:adjustRightInd w:val="0"/>
        <w:spacing w:after="0" w:line="240" w:lineRule="auto"/>
        <w:jc w:val="both"/>
        <w:rPr>
          <w:rFonts w:cs="Times New Roman"/>
          <w:bCs/>
        </w:rPr>
      </w:pPr>
    </w:p>
    <w:p w14:paraId="499848CE" w14:textId="77777777" w:rsidR="00F11BC9" w:rsidRDefault="00D018AB" w:rsidP="00D93D8D">
      <w:pPr>
        <w:autoSpaceDE w:val="0"/>
        <w:autoSpaceDN w:val="0"/>
        <w:adjustRightInd w:val="0"/>
        <w:spacing w:after="0" w:line="240" w:lineRule="auto"/>
        <w:jc w:val="both"/>
        <w:rPr>
          <w:rFonts w:cs="Times New Roman"/>
          <w:bCs/>
        </w:rPr>
      </w:pPr>
      <w:r>
        <w:rPr>
          <w:rFonts w:cs="Times New Roman"/>
          <w:bCs/>
        </w:rPr>
        <w:t>Infrastruc</w:t>
      </w:r>
      <w:r w:rsidR="00697A26">
        <w:rPr>
          <w:rFonts w:cs="Times New Roman"/>
          <w:bCs/>
        </w:rPr>
        <w:t xml:space="preserve">ture costs are </w:t>
      </w:r>
      <w:r w:rsidR="006B5A0E">
        <w:rPr>
          <w:rFonts w:cs="Times New Roman"/>
          <w:bCs/>
        </w:rPr>
        <w:t>directly charged to each partner based on square footage for those that are co-located</w:t>
      </w:r>
      <w:r>
        <w:rPr>
          <w:rFonts w:cs="Times New Roman"/>
          <w:bCs/>
        </w:rPr>
        <w:t xml:space="preserve">.  </w:t>
      </w:r>
      <w:r w:rsidR="001258B0">
        <w:rPr>
          <w:rFonts w:cs="Times New Roman"/>
          <w:bCs/>
        </w:rPr>
        <w:t xml:space="preserve">The state </w:t>
      </w:r>
      <w:r w:rsidR="007E3312">
        <w:rPr>
          <w:rFonts w:cs="Times New Roman"/>
          <w:bCs/>
        </w:rPr>
        <w:t xml:space="preserve">adult education </w:t>
      </w:r>
      <w:r w:rsidR="001258B0">
        <w:rPr>
          <w:rFonts w:cs="Times New Roman"/>
          <w:bCs/>
        </w:rPr>
        <w:t xml:space="preserve">office provides the financial support </w:t>
      </w:r>
      <w:r w:rsidR="007E3312">
        <w:rPr>
          <w:rFonts w:cs="Times New Roman"/>
          <w:bCs/>
        </w:rPr>
        <w:t xml:space="preserve">for </w:t>
      </w:r>
      <w:r w:rsidR="001258B0">
        <w:rPr>
          <w:rFonts w:cs="Times New Roman"/>
          <w:bCs/>
        </w:rPr>
        <w:t>each local program</w:t>
      </w:r>
      <w:r w:rsidR="007E3312">
        <w:rPr>
          <w:rFonts w:cs="Times New Roman"/>
          <w:bCs/>
        </w:rPr>
        <w:t>’</w:t>
      </w:r>
      <w:r w:rsidR="001258B0">
        <w:rPr>
          <w:rFonts w:cs="Times New Roman"/>
          <w:bCs/>
        </w:rPr>
        <w:t xml:space="preserve">s </w:t>
      </w:r>
      <w:r w:rsidR="00F11BC9">
        <w:rPr>
          <w:rFonts w:cs="Times New Roman"/>
          <w:bCs/>
        </w:rPr>
        <w:t xml:space="preserve">fair and equitable share of the infrastructure costs </w:t>
      </w:r>
      <w:r w:rsidR="002A4A68">
        <w:rPr>
          <w:rFonts w:cs="Times New Roman"/>
          <w:bCs/>
        </w:rPr>
        <w:t xml:space="preserve">based on benefit received and </w:t>
      </w:r>
      <w:r w:rsidR="00F11BC9">
        <w:rPr>
          <w:rFonts w:cs="Times New Roman"/>
          <w:bCs/>
        </w:rPr>
        <w:t xml:space="preserve">as determined through </w:t>
      </w:r>
      <w:r w:rsidR="007E3312">
        <w:rPr>
          <w:rFonts w:cs="Times New Roman"/>
          <w:bCs/>
        </w:rPr>
        <w:t>the funding formula created by the Alabama Department of Labor</w:t>
      </w:r>
      <w:r w:rsidR="00F11BC9">
        <w:rPr>
          <w:rFonts w:cs="Times New Roman"/>
          <w:bCs/>
        </w:rPr>
        <w:t xml:space="preserve">.  </w:t>
      </w:r>
    </w:p>
    <w:p w14:paraId="722DEC36" w14:textId="77777777" w:rsidR="00D93D8D" w:rsidRDefault="00D93D8D" w:rsidP="00AC2E77">
      <w:pPr>
        <w:pBdr>
          <w:bottom w:val="single" w:sz="4" w:space="1" w:color="auto"/>
        </w:pBdr>
        <w:autoSpaceDE w:val="0"/>
        <w:autoSpaceDN w:val="0"/>
        <w:adjustRightInd w:val="0"/>
        <w:spacing w:after="0" w:line="240" w:lineRule="auto"/>
        <w:jc w:val="both"/>
        <w:rPr>
          <w:rFonts w:cs="Times New Roman"/>
          <w:bCs/>
        </w:rPr>
      </w:pPr>
    </w:p>
    <w:p w14:paraId="66CBCA9A" w14:textId="77777777" w:rsidR="00920205" w:rsidRPr="00AC2E77" w:rsidRDefault="00920205" w:rsidP="001C6AD7">
      <w:pPr>
        <w:shd w:val="clear" w:color="auto" w:fill="E7E6E6" w:themeFill="background2"/>
        <w:autoSpaceDE w:val="0"/>
        <w:autoSpaceDN w:val="0"/>
        <w:adjustRightInd w:val="0"/>
        <w:spacing w:after="0" w:line="240" w:lineRule="auto"/>
        <w:jc w:val="both"/>
        <w:rPr>
          <w:rFonts w:cs="Times New Roman"/>
          <w:bCs/>
        </w:rPr>
      </w:pPr>
    </w:p>
    <w:p w14:paraId="332860DE" w14:textId="77777777" w:rsidR="00CA6F87" w:rsidRPr="004241AD" w:rsidRDefault="007F532E" w:rsidP="001C6AD7">
      <w:pPr>
        <w:shd w:val="clear" w:color="auto" w:fill="E7E6E6" w:themeFill="background2"/>
        <w:autoSpaceDE w:val="0"/>
        <w:autoSpaceDN w:val="0"/>
        <w:adjustRightInd w:val="0"/>
        <w:spacing w:after="0" w:line="240" w:lineRule="auto"/>
        <w:jc w:val="both"/>
        <w:rPr>
          <w:rFonts w:cs="Times New Roman"/>
          <w:b/>
        </w:rPr>
      </w:pPr>
      <w:r w:rsidRPr="004241AD">
        <w:rPr>
          <w:rFonts w:cs="Times New Roman"/>
          <w:b/>
          <w:bCs/>
        </w:rPr>
        <w:t xml:space="preserve">Integrated English Literacy and Civics Education (IELCE) Program </w:t>
      </w:r>
      <w:r w:rsidRPr="004241AD">
        <w:rPr>
          <w:rFonts w:cs="Times New Roman"/>
          <w:b/>
        </w:rPr>
        <w:t>(AEFLA Section</w:t>
      </w:r>
      <w:r w:rsidR="00CA6F87" w:rsidRPr="004241AD">
        <w:rPr>
          <w:rFonts w:cs="Times New Roman"/>
          <w:b/>
        </w:rPr>
        <w:t xml:space="preserve"> </w:t>
      </w:r>
      <w:r w:rsidRPr="004241AD">
        <w:rPr>
          <w:rFonts w:cs="Times New Roman"/>
          <w:b/>
        </w:rPr>
        <w:t>243)</w:t>
      </w:r>
      <w:r w:rsidR="00122C57" w:rsidRPr="004241AD">
        <w:rPr>
          <w:rFonts w:cs="Times New Roman"/>
          <w:b/>
        </w:rPr>
        <w:t xml:space="preserve"> </w:t>
      </w:r>
    </w:p>
    <w:p w14:paraId="2F190635" w14:textId="77777777" w:rsidR="007F532E" w:rsidRPr="00CA6F87" w:rsidRDefault="007F532E" w:rsidP="001C6AD7">
      <w:pPr>
        <w:shd w:val="clear" w:color="auto" w:fill="E7E6E6" w:themeFill="background2"/>
        <w:autoSpaceDE w:val="0"/>
        <w:autoSpaceDN w:val="0"/>
        <w:adjustRightInd w:val="0"/>
        <w:spacing w:after="0" w:line="240" w:lineRule="auto"/>
        <w:jc w:val="both"/>
        <w:rPr>
          <w:rFonts w:cs="Times New Roman"/>
          <w:i/>
        </w:rPr>
      </w:pPr>
      <w:r w:rsidRPr="00CA6F87">
        <w:rPr>
          <w:rFonts w:cs="Times New Roman"/>
          <w:i/>
        </w:rPr>
        <w:t>Describe how the state is using funds under Section 243 to s</w:t>
      </w:r>
      <w:r w:rsidR="00291B6B" w:rsidRPr="00CA6F87">
        <w:rPr>
          <w:rFonts w:cs="Times New Roman"/>
          <w:i/>
        </w:rPr>
        <w:t xml:space="preserve">upport the following activities </w:t>
      </w:r>
      <w:r w:rsidRPr="00CA6F87">
        <w:rPr>
          <w:rFonts w:cs="Times New Roman"/>
          <w:i/>
        </w:rPr>
        <w:t>under the IELCE program:</w:t>
      </w:r>
    </w:p>
    <w:p w14:paraId="6E0FE5C2" w14:textId="33965A23" w:rsidR="007F532E" w:rsidRPr="00D2137D" w:rsidRDefault="007F532E" w:rsidP="00A97E5C">
      <w:pPr>
        <w:pStyle w:val="ListParagraph"/>
        <w:numPr>
          <w:ilvl w:val="0"/>
          <w:numId w:val="28"/>
        </w:numPr>
        <w:shd w:val="clear" w:color="auto" w:fill="E7E6E6" w:themeFill="background2"/>
        <w:autoSpaceDE w:val="0"/>
        <w:autoSpaceDN w:val="0"/>
        <w:adjustRightInd w:val="0"/>
        <w:spacing w:after="0" w:line="240" w:lineRule="auto"/>
        <w:jc w:val="both"/>
        <w:rPr>
          <w:rFonts w:cs="Times New Roman"/>
          <w:i/>
        </w:rPr>
      </w:pPr>
      <w:r w:rsidRPr="00D2137D">
        <w:rPr>
          <w:rFonts w:cs="Times New Roman"/>
          <w:i/>
        </w:rPr>
        <w:t>Describe when your State held a competition [the latest competition] for IELCE</w:t>
      </w:r>
      <w:r w:rsidR="00291B6B" w:rsidRPr="00D2137D">
        <w:rPr>
          <w:rFonts w:cs="Times New Roman"/>
          <w:i/>
        </w:rPr>
        <w:t xml:space="preserve"> </w:t>
      </w:r>
      <w:r w:rsidRPr="00D2137D">
        <w:rPr>
          <w:rFonts w:cs="Times New Roman"/>
          <w:i/>
        </w:rPr>
        <w:t xml:space="preserve">program funds and the number </w:t>
      </w:r>
      <w:r w:rsidR="00A97E5C" w:rsidRPr="00D2137D">
        <w:rPr>
          <w:rFonts w:cs="Times New Roman"/>
          <w:i/>
        </w:rPr>
        <w:t xml:space="preserve">    </w:t>
      </w:r>
      <w:r w:rsidRPr="00D2137D">
        <w:rPr>
          <w:rFonts w:cs="Times New Roman"/>
          <w:i/>
        </w:rPr>
        <w:t>of grants awarded by your State to support IELCE</w:t>
      </w:r>
      <w:r w:rsidR="00291B6B" w:rsidRPr="00D2137D">
        <w:rPr>
          <w:rFonts w:cs="Times New Roman"/>
          <w:i/>
        </w:rPr>
        <w:t xml:space="preserve"> </w:t>
      </w:r>
      <w:r w:rsidRPr="00D2137D">
        <w:rPr>
          <w:rFonts w:cs="Times New Roman"/>
          <w:i/>
        </w:rPr>
        <w:t>programs.</w:t>
      </w:r>
    </w:p>
    <w:p w14:paraId="72EE40C1" w14:textId="6ABF00FB" w:rsidR="007F532E" w:rsidRPr="00D2137D" w:rsidRDefault="007F532E" w:rsidP="00A97E5C">
      <w:pPr>
        <w:pStyle w:val="ListParagraph"/>
        <w:numPr>
          <w:ilvl w:val="0"/>
          <w:numId w:val="28"/>
        </w:numPr>
        <w:shd w:val="clear" w:color="auto" w:fill="E7E6E6" w:themeFill="background2"/>
        <w:autoSpaceDE w:val="0"/>
        <w:autoSpaceDN w:val="0"/>
        <w:adjustRightInd w:val="0"/>
        <w:spacing w:after="0" w:line="240" w:lineRule="auto"/>
        <w:jc w:val="both"/>
        <w:rPr>
          <w:rFonts w:cs="Times New Roman"/>
          <w:i/>
        </w:rPr>
      </w:pPr>
      <w:r w:rsidRPr="00D2137D">
        <w:rPr>
          <w:rFonts w:cs="Times New Roman"/>
          <w:i/>
        </w:rPr>
        <w:lastRenderedPageBreak/>
        <w:t>Describe your State efforts in meeting the requirement to provide IELCE services in</w:t>
      </w:r>
      <w:r w:rsidR="00291B6B" w:rsidRPr="00D2137D">
        <w:rPr>
          <w:rFonts w:cs="Times New Roman"/>
          <w:i/>
        </w:rPr>
        <w:t xml:space="preserve"> </w:t>
      </w:r>
      <w:r w:rsidRPr="00D2137D">
        <w:rPr>
          <w:rFonts w:cs="Times New Roman"/>
          <w:i/>
        </w:rPr>
        <w:t xml:space="preserve">combination with integrated education and training </w:t>
      </w:r>
      <w:r w:rsidR="007C6FD6" w:rsidRPr="00D2137D">
        <w:rPr>
          <w:rFonts w:cs="Times New Roman"/>
          <w:i/>
        </w:rPr>
        <w:t>activities.</w:t>
      </w:r>
    </w:p>
    <w:p w14:paraId="393720ED" w14:textId="77777777" w:rsidR="007F532E" w:rsidRPr="00D2137D" w:rsidRDefault="007F532E" w:rsidP="00A97E5C">
      <w:pPr>
        <w:pStyle w:val="ListParagraph"/>
        <w:numPr>
          <w:ilvl w:val="0"/>
          <w:numId w:val="28"/>
        </w:numPr>
        <w:shd w:val="clear" w:color="auto" w:fill="E7E6E6" w:themeFill="background2"/>
        <w:autoSpaceDE w:val="0"/>
        <w:autoSpaceDN w:val="0"/>
        <w:adjustRightInd w:val="0"/>
        <w:spacing w:after="0" w:line="240" w:lineRule="auto"/>
        <w:jc w:val="both"/>
        <w:rPr>
          <w:rFonts w:cs="Times New Roman"/>
          <w:i/>
        </w:rPr>
      </w:pPr>
      <w:r w:rsidRPr="00D2137D">
        <w:rPr>
          <w:rFonts w:cs="Times New Roman"/>
          <w:i/>
        </w:rPr>
        <w:t>Describe how the State is progressing towards program goals of preparing and placing</w:t>
      </w:r>
      <w:r w:rsidR="00DB6F16" w:rsidRPr="00D2137D">
        <w:rPr>
          <w:rFonts w:cs="Times New Roman"/>
          <w:i/>
        </w:rPr>
        <w:t xml:space="preserve"> </w:t>
      </w:r>
      <w:r w:rsidRPr="00D2137D">
        <w:rPr>
          <w:rFonts w:cs="Times New Roman"/>
          <w:i/>
        </w:rPr>
        <w:t>IELCE program participants in unsubsidized employment in in-demand industries and</w:t>
      </w:r>
      <w:r w:rsidR="00291B6B" w:rsidRPr="00D2137D">
        <w:rPr>
          <w:rFonts w:cs="Times New Roman"/>
          <w:i/>
        </w:rPr>
        <w:t xml:space="preserve"> </w:t>
      </w:r>
      <w:r w:rsidRPr="00D2137D">
        <w:rPr>
          <w:rFonts w:cs="Times New Roman"/>
          <w:i/>
        </w:rPr>
        <w:t>occupations that lead to economic self-sufficiency as described in section 243(c)(1) and</w:t>
      </w:r>
      <w:r w:rsidR="00291B6B" w:rsidRPr="00D2137D">
        <w:rPr>
          <w:rFonts w:cs="Times New Roman"/>
          <w:i/>
        </w:rPr>
        <w:t xml:space="preserve"> </w:t>
      </w:r>
      <w:r w:rsidRPr="00D2137D">
        <w:rPr>
          <w:rFonts w:cs="Times New Roman"/>
          <w:i/>
        </w:rPr>
        <w:t>discuss any performance results, challenges, and lessons learned from implementing</w:t>
      </w:r>
      <w:r w:rsidR="00291B6B" w:rsidRPr="00D2137D">
        <w:rPr>
          <w:rFonts w:cs="Times New Roman"/>
          <w:i/>
        </w:rPr>
        <w:t xml:space="preserve"> </w:t>
      </w:r>
      <w:r w:rsidRPr="00D2137D">
        <w:rPr>
          <w:rFonts w:cs="Times New Roman"/>
          <w:i/>
        </w:rPr>
        <w:t>those program goals; and</w:t>
      </w:r>
    </w:p>
    <w:p w14:paraId="12F704D5" w14:textId="77777777" w:rsidR="007F532E" w:rsidRPr="00D2137D" w:rsidRDefault="007F532E" w:rsidP="00A97E5C">
      <w:pPr>
        <w:pStyle w:val="ListParagraph"/>
        <w:numPr>
          <w:ilvl w:val="0"/>
          <w:numId w:val="28"/>
        </w:numPr>
        <w:shd w:val="clear" w:color="auto" w:fill="E7E6E6" w:themeFill="background2"/>
        <w:autoSpaceDE w:val="0"/>
        <w:autoSpaceDN w:val="0"/>
        <w:adjustRightInd w:val="0"/>
        <w:spacing w:after="0" w:line="240" w:lineRule="auto"/>
        <w:jc w:val="both"/>
        <w:rPr>
          <w:rFonts w:cs="Times New Roman"/>
          <w:i/>
        </w:rPr>
      </w:pPr>
      <w:r w:rsidRPr="00D2137D">
        <w:rPr>
          <w:rFonts w:cs="Times New Roman"/>
          <w:i/>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298125F7" w14:textId="77777777" w:rsidR="00DB6F16" w:rsidRPr="007D3516" w:rsidRDefault="00DB6F16" w:rsidP="00A97E5C">
      <w:pPr>
        <w:pBdr>
          <w:bottom w:val="single" w:sz="4" w:space="1" w:color="auto"/>
        </w:pBdr>
        <w:shd w:val="clear" w:color="auto" w:fill="E7E6E6" w:themeFill="background2"/>
        <w:autoSpaceDE w:val="0"/>
        <w:autoSpaceDN w:val="0"/>
        <w:adjustRightInd w:val="0"/>
        <w:spacing w:after="0" w:line="240" w:lineRule="auto"/>
        <w:jc w:val="both"/>
        <w:rPr>
          <w:rFonts w:cs="Times New Roman"/>
        </w:rPr>
      </w:pPr>
    </w:p>
    <w:p w14:paraId="5A9A2C40" w14:textId="77777777" w:rsidR="00AC2E77" w:rsidRDefault="00AC2E77" w:rsidP="00211AB0">
      <w:pPr>
        <w:autoSpaceDE w:val="0"/>
        <w:autoSpaceDN w:val="0"/>
        <w:adjustRightInd w:val="0"/>
        <w:spacing w:after="0" w:line="240" w:lineRule="auto"/>
        <w:jc w:val="both"/>
        <w:rPr>
          <w:rFonts w:cs="Times New Roman"/>
        </w:rPr>
      </w:pPr>
    </w:p>
    <w:p w14:paraId="67A083F1" w14:textId="77777777" w:rsidR="004D18BD" w:rsidRPr="007D3516" w:rsidRDefault="00DB6F16" w:rsidP="00211AB0">
      <w:pPr>
        <w:autoSpaceDE w:val="0"/>
        <w:autoSpaceDN w:val="0"/>
        <w:adjustRightInd w:val="0"/>
        <w:spacing w:after="0" w:line="240" w:lineRule="auto"/>
        <w:jc w:val="both"/>
        <w:rPr>
          <w:rFonts w:cs="Times New Roman"/>
        </w:rPr>
      </w:pPr>
      <w:r w:rsidRPr="007D3516">
        <w:rPr>
          <w:rFonts w:cs="Times New Roman"/>
        </w:rPr>
        <w:t>Alabama Adult Education allocates funding</w:t>
      </w:r>
      <w:r w:rsidR="00920205" w:rsidRPr="007D3516">
        <w:rPr>
          <w:rFonts w:cs="Times New Roman"/>
        </w:rPr>
        <w:t xml:space="preserve"> under section </w:t>
      </w:r>
      <w:r w:rsidRPr="007D3516">
        <w:rPr>
          <w:rFonts w:cs="Times New Roman"/>
        </w:rPr>
        <w:t>211(a)(2)</w:t>
      </w:r>
      <w:r w:rsidR="00F915C9">
        <w:rPr>
          <w:rFonts w:cs="Times New Roman"/>
        </w:rPr>
        <w:t xml:space="preserve"> </w:t>
      </w:r>
      <w:r w:rsidR="00920205" w:rsidRPr="007D3516">
        <w:rPr>
          <w:rFonts w:cs="Times New Roman"/>
        </w:rPr>
        <w:t>to support all th</w:t>
      </w:r>
      <w:r w:rsidRPr="007D3516">
        <w:rPr>
          <w:rFonts w:cs="Times New Roman"/>
        </w:rPr>
        <w:t>e activities as described in section 243 for the Integrated English Literacy and</w:t>
      </w:r>
      <w:r w:rsidR="00920205" w:rsidRPr="007D3516">
        <w:rPr>
          <w:rFonts w:cs="Times New Roman"/>
        </w:rPr>
        <w:t xml:space="preserve"> Civics Education (IELCE) program.  </w:t>
      </w:r>
      <w:r w:rsidR="00005015" w:rsidRPr="007D3516">
        <w:rPr>
          <w:rFonts w:cs="Times New Roman"/>
        </w:rPr>
        <w:t xml:space="preserve">The goal is to prepare adults who are English language learners for unsubsidized employment in the in-demand </w:t>
      </w:r>
      <w:r w:rsidR="004D18BD" w:rsidRPr="007D3516">
        <w:rPr>
          <w:rFonts w:cs="Times New Roman"/>
        </w:rPr>
        <w:t>industries</w:t>
      </w:r>
      <w:r w:rsidR="00005015" w:rsidRPr="007D3516">
        <w:rPr>
          <w:rFonts w:cs="Times New Roman"/>
        </w:rPr>
        <w:t xml:space="preserve"> and occu</w:t>
      </w:r>
      <w:r w:rsidR="005A4CDC" w:rsidRPr="007D3516">
        <w:rPr>
          <w:rFonts w:cs="Times New Roman"/>
        </w:rPr>
        <w:t>pations in Alab</w:t>
      </w:r>
      <w:r w:rsidR="002A29BE" w:rsidRPr="007D3516">
        <w:rPr>
          <w:rFonts w:cs="Times New Roman"/>
        </w:rPr>
        <w:t>ama which lead to economic self-</w:t>
      </w:r>
      <w:r w:rsidR="005A4CDC" w:rsidRPr="007D3516">
        <w:rPr>
          <w:rFonts w:cs="Times New Roman"/>
        </w:rPr>
        <w:t>sufficiency</w:t>
      </w:r>
      <w:r w:rsidR="004D18BD" w:rsidRPr="007D3516">
        <w:rPr>
          <w:rFonts w:cs="Times New Roman"/>
        </w:rPr>
        <w:t>.  These efforts a</w:t>
      </w:r>
      <w:r w:rsidR="00F915C9">
        <w:rPr>
          <w:rFonts w:cs="Times New Roman"/>
        </w:rPr>
        <w:t>r</w:t>
      </w:r>
      <w:r w:rsidR="004D18BD" w:rsidRPr="007D3516">
        <w:rPr>
          <w:rFonts w:cs="Times New Roman"/>
        </w:rPr>
        <w:t xml:space="preserve">e supported and assisted through </w:t>
      </w:r>
      <w:r w:rsidR="002A29BE" w:rsidRPr="007D3516">
        <w:rPr>
          <w:rFonts w:cs="Times New Roman"/>
        </w:rPr>
        <w:t>the lo</w:t>
      </w:r>
      <w:r w:rsidR="004D18BD" w:rsidRPr="007D3516">
        <w:rPr>
          <w:rFonts w:cs="Times New Roman"/>
        </w:rPr>
        <w:t xml:space="preserve">cal Career center.  </w:t>
      </w:r>
      <w:r w:rsidR="002A29BE" w:rsidRPr="007D3516">
        <w:rPr>
          <w:rFonts w:cs="Times New Roman"/>
        </w:rPr>
        <w:t xml:space="preserve"> </w:t>
      </w:r>
    </w:p>
    <w:p w14:paraId="13F29596" w14:textId="77777777" w:rsidR="000A2A86" w:rsidRPr="007D3516" w:rsidRDefault="000A2A86" w:rsidP="00211AB0">
      <w:pPr>
        <w:autoSpaceDE w:val="0"/>
        <w:autoSpaceDN w:val="0"/>
        <w:adjustRightInd w:val="0"/>
        <w:spacing w:after="0" w:line="240" w:lineRule="auto"/>
        <w:jc w:val="both"/>
        <w:rPr>
          <w:rFonts w:cs="Times New Roman"/>
        </w:rPr>
      </w:pPr>
    </w:p>
    <w:p w14:paraId="5C615795" w14:textId="77777777" w:rsidR="001A583A" w:rsidRPr="004241AD" w:rsidRDefault="001A583A" w:rsidP="00211AB0">
      <w:pPr>
        <w:autoSpaceDE w:val="0"/>
        <w:autoSpaceDN w:val="0"/>
        <w:adjustRightInd w:val="0"/>
        <w:spacing w:after="0" w:line="240" w:lineRule="auto"/>
        <w:jc w:val="both"/>
        <w:rPr>
          <w:rFonts w:cs="Times New Roman"/>
          <w:u w:val="single"/>
        </w:rPr>
      </w:pPr>
      <w:r w:rsidRPr="004241AD">
        <w:rPr>
          <w:rFonts w:cs="Times New Roman"/>
          <w:u w:val="single"/>
        </w:rPr>
        <w:t>State Held Competition</w:t>
      </w:r>
    </w:p>
    <w:p w14:paraId="1D69E2E5" w14:textId="19606AB5" w:rsidR="002A4A68" w:rsidRPr="00B55354" w:rsidRDefault="00F54FB0" w:rsidP="007E6233">
      <w:pPr>
        <w:autoSpaceDE w:val="0"/>
        <w:autoSpaceDN w:val="0"/>
        <w:adjustRightInd w:val="0"/>
        <w:spacing w:after="0" w:line="240" w:lineRule="auto"/>
        <w:jc w:val="both"/>
        <w:rPr>
          <w:rFonts w:cs="Helvetica"/>
          <w:strike/>
        </w:rPr>
      </w:pPr>
      <w:r w:rsidRPr="007D3516">
        <w:rPr>
          <w:rFonts w:cs="Helvetica"/>
        </w:rPr>
        <w:t xml:space="preserve">Alabama Adult Education </w:t>
      </w:r>
      <w:r>
        <w:rPr>
          <w:rFonts w:cs="Helvetica"/>
        </w:rPr>
        <w:t xml:space="preserve">offered </w:t>
      </w:r>
      <w:r w:rsidRPr="007D3516">
        <w:rPr>
          <w:rFonts w:cs="Helvetica"/>
        </w:rPr>
        <w:t xml:space="preserve">a competitive, multi–year (three year) Request for Funding Proposal (RFP) </w:t>
      </w:r>
      <w:r>
        <w:rPr>
          <w:rFonts w:cs="Helvetica"/>
        </w:rPr>
        <w:t xml:space="preserve">that included IELCE funds. Competition for funding and the distribution of awarded funds were competed </w:t>
      </w:r>
      <w:r w:rsidRPr="007D3516">
        <w:rPr>
          <w:rFonts w:cs="Helvetica"/>
        </w:rPr>
        <w:t xml:space="preserve">according to the process described in the </w:t>
      </w:r>
      <w:r w:rsidRPr="00D6745A">
        <w:rPr>
          <w:rFonts w:cs="Helvetica"/>
          <w:i/>
        </w:rPr>
        <w:t xml:space="preserve">Title II distribution of funds Common Elements section of the Alabama State plan </w:t>
      </w:r>
      <w:r w:rsidRPr="00D6745A">
        <w:rPr>
          <w:rFonts w:cs="Helvetica"/>
        </w:rPr>
        <w:t>and compl</w:t>
      </w:r>
      <w:r>
        <w:rPr>
          <w:rFonts w:cs="Helvetica"/>
        </w:rPr>
        <w:t>ied</w:t>
      </w:r>
      <w:r w:rsidRPr="00D6745A">
        <w:rPr>
          <w:rFonts w:cs="Helvetica"/>
        </w:rPr>
        <w:t xml:space="preserve"> with the requirements of Subpart C section 243 of WIOA.</w:t>
      </w:r>
      <w:r>
        <w:rPr>
          <w:rFonts w:cs="Helvetica"/>
        </w:rPr>
        <w:t xml:space="preserve">  </w:t>
      </w:r>
      <w:r w:rsidR="004D18BD" w:rsidRPr="007D3516">
        <w:rPr>
          <w:rFonts w:cs="Times New Roman"/>
        </w:rPr>
        <w:t>T</w:t>
      </w:r>
      <w:r w:rsidR="00920205" w:rsidRPr="007D3516">
        <w:rPr>
          <w:rFonts w:cs="Times New Roman"/>
        </w:rPr>
        <w:t xml:space="preserve">he </w:t>
      </w:r>
      <w:r w:rsidR="00436AAA">
        <w:rPr>
          <w:rFonts w:cs="Times New Roman"/>
        </w:rPr>
        <w:t>competition</w:t>
      </w:r>
      <w:r w:rsidR="00B55354">
        <w:rPr>
          <w:rFonts w:cs="Times New Roman"/>
        </w:rPr>
        <w:t xml:space="preserve"> was</w:t>
      </w:r>
      <w:r w:rsidR="00920205" w:rsidRPr="007D3516">
        <w:rPr>
          <w:rFonts w:cs="Times New Roman"/>
        </w:rPr>
        <w:t xml:space="preserve"> held </w:t>
      </w:r>
      <w:r w:rsidR="00B55354">
        <w:rPr>
          <w:rFonts w:cs="Times New Roman"/>
        </w:rPr>
        <w:t>in February of 2018</w:t>
      </w:r>
      <w:r w:rsidR="007C6FD6">
        <w:rPr>
          <w:rFonts w:cs="Times New Roman"/>
        </w:rPr>
        <w:t>, with the next competition being in 2021.</w:t>
      </w:r>
      <w:r w:rsidR="00920205" w:rsidRPr="007D3516">
        <w:rPr>
          <w:rFonts w:cs="Times New Roman"/>
        </w:rPr>
        <w:t xml:space="preserve">  </w:t>
      </w:r>
      <w:r w:rsidR="00666880">
        <w:rPr>
          <w:rFonts w:cs="Times New Roman"/>
        </w:rPr>
        <w:t xml:space="preserve">There </w:t>
      </w:r>
      <w:r w:rsidR="007E3312">
        <w:rPr>
          <w:rFonts w:cs="Times New Roman"/>
        </w:rPr>
        <w:t>were</w:t>
      </w:r>
      <w:r w:rsidR="00666880">
        <w:rPr>
          <w:rFonts w:cs="Times New Roman"/>
        </w:rPr>
        <w:t xml:space="preserve"> 11 </w:t>
      </w:r>
      <w:r>
        <w:rPr>
          <w:rFonts w:cs="Times New Roman"/>
        </w:rPr>
        <w:t xml:space="preserve">IELCE programs </w:t>
      </w:r>
      <w:r w:rsidR="007E3312">
        <w:rPr>
          <w:rFonts w:cs="Times New Roman"/>
        </w:rPr>
        <w:t xml:space="preserve">selected during </w:t>
      </w:r>
      <w:r w:rsidR="007C6FD6">
        <w:rPr>
          <w:rFonts w:cs="Times New Roman"/>
        </w:rPr>
        <w:t xml:space="preserve">the 2018 </w:t>
      </w:r>
      <w:r w:rsidR="007E3312">
        <w:rPr>
          <w:rFonts w:cs="Times New Roman"/>
        </w:rPr>
        <w:t xml:space="preserve">competition and the start date for services for the new entities </w:t>
      </w:r>
      <w:r>
        <w:rPr>
          <w:rFonts w:cs="Times New Roman"/>
        </w:rPr>
        <w:t xml:space="preserve">began July 1, 2018.  </w:t>
      </w:r>
    </w:p>
    <w:p w14:paraId="02323706" w14:textId="77777777" w:rsidR="007E6233" w:rsidRDefault="007E6233" w:rsidP="007E6233">
      <w:pPr>
        <w:autoSpaceDE w:val="0"/>
        <w:autoSpaceDN w:val="0"/>
        <w:adjustRightInd w:val="0"/>
        <w:spacing w:after="0" w:line="240" w:lineRule="auto"/>
        <w:jc w:val="both"/>
        <w:rPr>
          <w:rFonts w:cs="Helvetica"/>
          <w:b/>
          <w:u w:val="single"/>
        </w:rPr>
      </w:pPr>
    </w:p>
    <w:p w14:paraId="5B758DC3" w14:textId="77777777" w:rsidR="007E6233" w:rsidRPr="004241AD" w:rsidRDefault="00976AC7" w:rsidP="007E6233">
      <w:pPr>
        <w:autoSpaceDE w:val="0"/>
        <w:autoSpaceDN w:val="0"/>
        <w:adjustRightInd w:val="0"/>
        <w:spacing w:after="0" w:line="240" w:lineRule="auto"/>
        <w:jc w:val="both"/>
        <w:rPr>
          <w:rFonts w:cs="Helvetica"/>
          <w:u w:val="single"/>
        </w:rPr>
      </w:pPr>
      <w:r>
        <w:rPr>
          <w:rFonts w:cs="Helvetica"/>
          <w:u w:val="single"/>
        </w:rPr>
        <w:t>IELCE services in combination with IET activities</w:t>
      </w:r>
    </w:p>
    <w:p w14:paraId="47CC4E9A" w14:textId="77777777" w:rsidR="006846D8" w:rsidRPr="007E6233" w:rsidRDefault="007E6233" w:rsidP="007E6233">
      <w:pPr>
        <w:autoSpaceDE w:val="0"/>
        <w:autoSpaceDN w:val="0"/>
        <w:adjustRightInd w:val="0"/>
        <w:spacing w:after="0" w:line="240" w:lineRule="auto"/>
        <w:jc w:val="both"/>
        <w:rPr>
          <w:rFonts w:cs="Times New Roman"/>
        </w:rPr>
      </w:pPr>
      <w:r>
        <w:rPr>
          <w:rFonts w:cs="Helvetica"/>
        </w:rPr>
        <w:t>E</w:t>
      </w:r>
      <w:r w:rsidR="006846D8" w:rsidRPr="007D3516">
        <w:rPr>
          <w:rFonts w:cs="Helvetica"/>
        </w:rPr>
        <w:t>ach program that receives funding under this section</w:t>
      </w:r>
      <w:r w:rsidR="00C62521">
        <w:rPr>
          <w:rFonts w:cs="Helvetica"/>
        </w:rPr>
        <w:t xml:space="preserve"> shall be designed to</w:t>
      </w:r>
      <w:r w:rsidR="006846D8" w:rsidRPr="007D3516">
        <w:rPr>
          <w:rFonts w:cs="Helvetica"/>
        </w:rPr>
        <w:t xml:space="preserve"> (1) prepare adults who are English language learners</w:t>
      </w:r>
      <w:r w:rsidR="00C62521">
        <w:rPr>
          <w:rFonts w:cs="Helvetica"/>
        </w:rPr>
        <w:t xml:space="preserve"> </w:t>
      </w:r>
      <w:r w:rsidR="002761D6">
        <w:rPr>
          <w:rFonts w:cs="Helvetica"/>
        </w:rPr>
        <w:t>(ELL)</w:t>
      </w:r>
      <w:r w:rsidR="006846D8" w:rsidRPr="007D3516">
        <w:rPr>
          <w:rFonts w:cs="Helvetica"/>
        </w:rPr>
        <w:t xml:space="preserve"> for, and place such adults in, unsubsidized employment in in–demand industries and occupations that le</w:t>
      </w:r>
      <w:r w:rsidR="0075312F">
        <w:rPr>
          <w:rFonts w:cs="Helvetica"/>
        </w:rPr>
        <w:t>ad to economic self–sufficiency</w:t>
      </w:r>
      <w:r w:rsidR="006846D8" w:rsidRPr="007D3516">
        <w:rPr>
          <w:rFonts w:cs="Helvetica"/>
        </w:rPr>
        <w:t xml:space="preserve"> and (2)</w:t>
      </w:r>
      <w:r w:rsidR="003422E2">
        <w:rPr>
          <w:rFonts w:cs="Helvetica"/>
        </w:rPr>
        <w:t xml:space="preserve"> </w:t>
      </w:r>
      <w:r w:rsidR="006846D8" w:rsidRPr="007D3516">
        <w:rPr>
          <w:rFonts w:cs="Helvetica"/>
        </w:rPr>
        <w:t>integrate with the local workforce development system and its functions to carry out the activities of the program.</w:t>
      </w:r>
    </w:p>
    <w:p w14:paraId="03F055D9" w14:textId="528882AD" w:rsidR="006846D8" w:rsidRPr="007D3516" w:rsidRDefault="007C4B51" w:rsidP="00211AB0">
      <w:pPr>
        <w:pStyle w:val="NormalWeb"/>
        <w:jc w:val="both"/>
        <w:rPr>
          <w:rFonts w:asciiTheme="minorHAnsi" w:hAnsiTheme="minorHAnsi" w:cs="Helvetica"/>
          <w:sz w:val="22"/>
          <w:szCs w:val="22"/>
        </w:rPr>
      </w:pPr>
      <w:r>
        <w:rPr>
          <w:rFonts w:asciiTheme="minorHAnsi" w:hAnsiTheme="minorHAnsi" w:cs="Helvetica"/>
          <w:sz w:val="22"/>
          <w:szCs w:val="22"/>
        </w:rPr>
        <w:t xml:space="preserve">The </w:t>
      </w:r>
      <w:r w:rsidR="006846D8" w:rsidRPr="007D3516">
        <w:rPr>
          <w:rFonts w:asciiTheme="minorHAnsi" w:hAnsiTheme="minorHAnsi" w:cs="Helvetica"/>
          <w:sz w:val="22"/>
          <w:szCs w:val="22"/>
        </w:rPr>
        <w:t>Alaba</w:t>
      </w:r>
      <w:r w:rsidR="002761D6">
        <w:rPr>
          <w:rFonts w:asciiTheme="minorHAnsi" w:hAnsiTheme="minorHAnsi" w:cs="Helvetica"/>
          <w:sz w:val="22"/>
          <w:szCs w:val="22"/>
        </w:rPr>
        <w:t xml:space="preserve">ma Adult Education state office </w:t>
      </w:r>
      <w:r w:rsidR="006846D8" w:rsidRPr="007D3516">
        <w:rPr>
          <w:rFonts w:asciiTheme="minorHAnsi" w:hAnsiTheme="minorHAnsi" w:cs="Helvetica"/>
          <w:sz w:val="22"/>
          <w:szCs w:val="22"/>
        </w:rPr>
        <w:t>consider</w:t>
      </w:r>
      <w:r w:rsidR="007E3312">
        <w:rPr>
          <w:rFonts w:asciiTheme="minorHAnsi" w:hAnsiTheme="minorHAnsi" w:cs="Helvetica"/>
          <w:sz w:val="22"/>
          <w:szCs w:val="22"/>
        </w:rPr>
        <w:t>ed</w:t>
      </w:r>
      <w:r w:rsidR="006846D8" w:rsidRPr="007D3516">
        <w:rPr>
          <w:rFonts w:asciiTheme="minorHAnsi" w:hAnsiTheme="minorHAnsi" w:cs="Helvetica"/>
          <w:sz w:val="22"/>
          <w:szCs w:val="22"/>
        </w:rPr>
        <w:t xml:space="preserve"> the ELL population in each </w:t>
      </w:r>
      <w:r w:rsidR="002761D6">
        <w:rPr>
          <w:rFonts w:asciiTheme="minorHAnsi" w:hAnsiTheme="minorHAnsi" w:cs="Helvetica"/>
          <w:sz w:val="22"/>
          <w:szCs w:val="22"/>
        </w:rPr>
        <w:t xml:space="preserve">regional local workforce </w:t>
      </w:r>
      <w:r w:rsidR="006846D8" w:rsidRPr="007D3516">
        <w:rPr>
          <w:rFonts w:asciiTheme="minorHAnsi" w:hAnsiTheme="minorHAnsi" w:cs="Helvetica"/>
          <w:sz w:val="22"/>
          <w:szCs w:val="22"/>
        </w:rPr>
        <w:t>service area</w:t>
      </w:r>
      <w:r w:rsidR="002761D6">
        <w:rPr>
          <w:rFonts w:asciiTheme="minorHAnsi" w:hAnsiTheme="minorHAnsi" w:cs="Helvetica"/>
          <w:sz w:val="22"/>
          <w:szCs w:val="22"/>
        </w:rPr>
        <w:t xml:space="preserve"> </w:t>
      </w:r>
      <w:r w:rsidR="007E3312">
        <w:rPr>
          <w:rFonts w:asciiTheme="minorHAnsi" w:hAnsiTheme="minorHAnsi" w:cs="Helvetica"/>
          <w:sz w:val="22"/>
          <w:szCs w:val="22"/>
        </w:rPr>
        <w:t xml:space="preserve">for </w:t>
      </w:r>
      <w:r w:rsidR="002761D6">
        <w:rPr>
          <w:rFonts w:asciiTheme="minorHAnsi" w:hAnsiTheme="minorHAnsi" w:cs="Helvetica"/>
          <w:sz w:val="22"/>
          <w:szCs w:val="22"/>
        </w:rPr>
        <w:t xml:space="preserve">determining </w:t>
      </w:r>
      <w:r w:rsidR="007E3312">
        <w:rPr>
          <w:rFonts w:asciiTheme="minorHAnsi" w:hAnsiTheme="minorHAnsi" w:cs="Helvetica"/>
          <w:sz w:val="22"/>
          <w:szCs w:val="22"/>
        </w:rPr>
        <w:t>the IELCE allocation</w:t>
      </w:r>
      <w:r w:rsidR="006846D8" w:rsidRPr="007D3516">
        <w:rPr>
          <w:rFonts w:asciiTheme="minorHAnsi" w:hAnsiTheme="minorHAnsi" w:cs="Helvetica"/>
          <w:sz w:val="22"/>
          <w:szCs w:val="22"/>
        </w:rPr>
        <w:t xml:space="preserve">. The eligible provider </w:t>
      </w:r>
      <w:r w:rsidR="00976AC7">
        <w:rPr>
          <w:rFonts w:asciiTheme="minorHAnsi" w:hAnsiTheme="minorHAnsi" w:cs="Helvetica"/>
          <w:sz w:val="22"/>
          <w:szCs w:val="22"/>
        </w:rPr>
        <w:t xml:space="preserve">aligned </w:t>
      </w:r>
      <w:r w:rsidR="006846D8" w:rsidRPr="007D3516">
        <w:rPr>
          <w:rFonts w:asciiTheme="minorHAnsi" w:hAnsiTheme="minorHAnsi" w:cs="Helvetica"/>
          <w:sz w:val="22"/>
          <w:szCs w:val="22"/>
        </w:rPr>
        <w:t xml:space="preserve">the need and services to the mission </w:t>
      </w:r>
      <w:r w:rsidR="00A671B1">
        <w:rPr>
          <w:rFonts w:asciiTheme="minorHAnsi" w:hAnsiTheme="minorHAnsi" w:cs="Helvetica"/>
          <w:sz w:val="22"/>
          <w:szCs w:val="22"/>
        </w:rPr>
        <w:t xml:space="preserve">and requirements </w:t>
      </w:r>
      <w:r w:rsidR="006846D8" w:rsidRPr="007D3516">
        <w:rPr>
          <w:rFonts w:asciiTheme="minorHAnsi" w:hAnsiTheme="minorHAnsi" w:cs="Helvetica"/>
          <w:sz w:val="22"/>
          <w:szCs w:val="22"/>
        </w:rPr>
        <w:t xml:space="preserve">of the </w:t>
      </w:r>
      <w:r w:rsidR="00A671B1">
        <w:rPr>
          <w:rFonts w:asciiTheme="minorHAnsi" w:hAnsiTheme="minorHAnsi" w:cs="Helvetica"/>
          <w:sz w:val="22"/>
          <w:szCs w:val="22"/>
        </w:rPr>
        <w:t xml:space="preserve">WIOA </w:t>
      </w:r>
      <w:r w:rsidR="006846D8" w:rsidRPr="007D3516">
        <w:rPr>
          <w:rFonts w:asciiTheme="minorHAnsi" w:hAnsiTheme="minorHAnsi" w:cs="Helvetica"/>
          <w:sz w:val="22"/>
          <w:szCs w:val="22"/>
        </w:rPr>
        <w:t>state plan</w:t>
      </w:r>
      <w:r w:rsidR="00976AC7">
        <w:rPr>
          <w:rFonts w:asciiTheme="minorHAnsi" w:hAnsiTheme="minorHAnsi" w:cs="Helvetica"/>
          <w:sz w:val="22"/>
          <w:szCs w:val="22"/>
        </w:rPr>
        <w:t xml:space="preserve"> and the labor market information in each area</w:t>
      </w:r>
      <w:r w:rsidR="006846D8" w:rsidRPr="007D3516">
        <w:rPr>
          <w:rFonts w:asciiTheme="minorHAnsi" w:hAnsiTheme="minorHAnsi" w:cs="Helvetica"/>
          <w:sz w:val="22"/>
          <w:szCs w:val="22"/>
        </w:rPr>
        <w:t>.</w:t>
      </w:r>
      <w:r w:rsidR="00976AC7">
        <w:rPr>
          <w:rFonts w:asciiTheme="minorHAnsi" w:hAnsiTheme="minorHAnsi" w:cs="Helvetica"/>
          <w:sz w:val="22"/>
          <w:szCs w:val="22"/>
        </w:rPr>
        <w:t xml:space="preserve"> </w:t>
      </w:r>
      <w:r w:rsidR="006846D8" w:rsidRPr="007D3516">
        <w:rPr>
          <w:rFonts w:asciiTheme="minorHAnsi" w:hAnsiTheme="minorHAnsi" w:cs="Helvetica"/>
          <w:sz w:val="22"/>
          <w:szCs w:val="22"/>
        </w:rPr>
        <w:t xml:space="preserve"> The</w:t>
      </w:r>
      <w:r w:rsidR="007E3312">
        <w:rPr>
          <w:rFonts w:asciiTheme="minorHAnsi" w:hAnsiTheme="minorHAnsi" w:cs="Helvetica"/>
          <w:sz w:val="22"/>
          <w:szCs w:val="22"/>
        </w:rPr>
        <w:t xml:space="preserve"> IELCE </w:t>
      </w:r>
      <w:r w:rsidR="007E3312" w:rsidRPr="007D3516">
        <w:rPr>
          <w:rFonts w:asciiTheme="minorHAnsi" w:hAnsiTheme="minorHAnsi" w:cs="Helvetica"/>
          <w:sz w:val="22"/>
          <w:szCs w:val="22"/>
        </w:rPr>
        <w:t>funds</w:t>
      </w:r>
      <w:r w:rsidR="006846D8" w:rsidRPr="007D3516">
        <w:rPr>
          <w:rFonts w:asciiTheme="minorHAnsi" w:hAnsiTheme="minorHAnsi" w:cs="Helvetica"/>
          <w:sz w:val="22"/>
          <w:szCs w:val="22"/>
        </w:rPr>
        <w:t xml:space="preserve"> target</w:t>
      </w:r>
      <w:r w:rsidR="007E3312">
        <w:rPr>
          <w:rFonts w:asciiTheme="minorHAnsi" w:hAnsiTheme="minorHAnsi" w:cs="Helvetica"/>
          <w:sz w:val="22"/>
          <w:szCs w:val="22"/>
        </w:rPr>
        <w:t>ed</w:t>
      </w:r>
      <w:r w:rsidR="006846D8" w:rsidRPr="007D3516">
        <w:rPr>
          <w:rFonts w:asciiTheme="minorHAnsi" w:hAnsiTheme="minorHAnsi" w:cs="Helvetica"/>
          <w:sz w:val="22"/>
          <w:szCs w:val="22"/>
        </w:rPr>
        <w:t xml:space="preserve"> those areas </w:t>
      </w:r>
      <w:r w:rsidR="00976AC7">
        <w:rPr>
          <w:rFonts w:asciiTheme="minorHAnsi" w:hAnsiTheme="minorHAnsi" w:cs="Helvetica"/>
          <w:sz w:val="22"/>
          <w:szCs w:val="22"/>
        </w:rPr>
        <w:t>of the state with</w:t>
      </w:r>
      <w:r w:rsidR="006846D8" w:rsidRPr="007D3516">
        <w:rPr>
          <w:rFonts w:asciiTheme="minorHAnsi" w:hAnsiTheme="minorHAnsi" w:cs="Helvetica"/>
          <w:sz w:val="22"/>
          <w:szCs w:val="22"/>
        </w:rPr>
        <w:t xml:space="preserve"> large population of English language learners</w:t>
      </w:r>
      <w:r w:rsidR="007E3312">
        <w:rPr>
          <w:rFonts w:asciiTheme="minorHAnsi" w:hAnsiTheme="minorHAnsi" w:cs="Helvetica"/>
          <w:sz w:val="22"/>
          <w:szCs w:val="22"/>
        </w:rPr>
        <w:t>.</w:t>
      </w:r>
      <w:r w:rsidR="006846D8" w:rsidRPr="007D3516">
        <w:rPr>
          <w:rFonts w:asciiTheme="minorHAnsi" w:hAnsiTheme="minorHAnsi" w:cs="Helvetica"/>
          <w:sz w:val="22"/>
          <w:szCs w:val="22"/>
        </w:rPr>
        <w:t xml:space="preserve"> </w:t>
      </w:r>
      <w:r w:rsidR="007E3312">
        <w:rPr>
          <w:rFonts w:asciiTheme="minorHAnsi" w:hAnsiTheme="minorHAnsi" w:cs="Helvetica"/>
          <w:sz w:val="22"/>
          <w:szCs w:val="22"/>
        </w:rPr>
        <w:t xml:space="preserve"> T</w:t>
      </w:r>
      <w:r w:rsidR="006846D8" w:rsidRPr="007D3516">
        <w:rPr>
          <w:rFonts w:asciiTheme="minorHAnsi" w:hAnsiTheme="minorHAnsi" w:cs="Helvetica"/>
          <w:sz w:val="22"/>
          <w:szCs w:val="22"/>
        </w:rPr>
        <w:t>he skills to improve one’s abilities to read, write, speak the English language, and become a productive citizen with sustainable employment</w:t>
      </w:r>
      <w:r w:rsidR="00976AC7">
        <w:rPr>
          <w:rFonts w:asciiTheme="minorHAnsi" w:hAnsiTheme="minorHAnsi" w:cs="Helvetica"/>
          <w:sz w:val="22"/>
          <w:szCs w:val="22"/>
        </w:rPr>
        <w:t xml:space="preserve"> is integrated with skills that will prepare the ELL learner for employment opportunities</w:t>
      </w:r>
      <w:r w:rsidR="006846D8" w:rsidRPr="007D3516">
        <w:rPr>
          <w:rFonts w:asciiTheme="minorHAnsi" w:hAnsiTheme="minorHAnsi" w:cs="Helvetica"/>
          <w:sz w:val="22"/>
          <w:szCs w:val="22"/>
        </w:rPr>
        <w:t>.</w:t>
      </w:r>
    </w:p>
    <w:p w14:paraId="361A0886" w14:textId="77777777" w:rsidR="006846D8" w:rsidRPr="007D3516" w:rsidRDefault="006846D8" w:rsidP="00211AB0">
      <w:pPr>
        <w:pStyle w:val="NormalWeb"/>
        <w:jc w:val="both"/>
        <w:rPr>
          <w:rFonts w:asciiTheme="minorHAnsi" w:hAnsiTheme="minorHAnsi" w:cs="Helvetica"/>
          <w:sz w:val="22"/>
          <w:szCs w:val="22"/>
        </w:rPr>
      </w:pPr>
      <w:r w:rsidRPr="007D3516">
        <w:rPr>
          <w:rFonts w:asciiTheme="minorHAnsi" w:hAnsiTheme="minorHAnsi" w:cs="Helvetica"/>
          <w:sz w:val="22"/>
          <w:szCs w:val="22"/>
        </w:rPr>
        <w:t>Integrated English literacy and civics education are educational services provided to English language learners who are adults, including professionals with degrees and credent</w:t>
      </w:r>
      <w:r w:rsidR="00A76DC4" w:rsidRPr="007D3516">
        <w:rPr>
          <w:rFonts w:asciiTheme="minorHAnsi" w:hAnsiTheme="minorHAnsi" w:cs="Helvetica"/>
          <w:sz w:val="22"/>
          <w:szCs w:val="22"/>
        </w:rPr>
        <w:t xml:space="preserve">ials in their native </w:t>
      </w:r>
      <w:r w:rsidR="008C026D" w:rsidRPr="007D3516">
        <w:rPr>
          <w:rFonts w:asciiTheme="minorHAnsi" w:hAnsiTheme="minorHAnsi" w:cs="Helvetica"/>
          <w:sz w:val="22"/>
          <w:szCs w:val="22"/>
        </w:rPr>
        <w:t>countries</w:t>
      </w:r>
      <w:r w:rsidR="008C026D">
        <w:rPr>
          <w:rFonts w:asciiTheme="minorHAnsi" w:hAnsiTheme="minorHAnsi" w:cs="Helvetica"/>
          <w:sz w:val="22"/>
          <w:szCs w:val="22"/>
        </w:rPr>
        <w:t>,</w:t>
      </w:r>
      <w:r w:rsidR="008C026D" w:rsidRPr="007D3516">
        <w:rPr>
          <w:rFonts w:asciiTheme="minorHAnsi" w:hAnsiTheme="minorHAnsi" w:cs="Helvetica"/>
          <w:sz w:val="22"/>
          <w:szCs w:val="22"/>
        </w:rPr>
        <w:t xml:space="preserve"> which</w:t>
      </w:r>
      <w:r w:rsidRPr="007D3516">
        <w:rPr>
          <w:rFonts w:asciiTheme="minorHAnsi" w:hAnsiTheme="minorHAnsi" w:cs="Helvetica"/>
          <w:sz w:val="22"/>
          <w:szCs w:val="22"/>
        </w:rPr>
        <w:t xml:space="preserve"> enables such adults to achieve competency in the English language and acquire the basic and more advanced skills needed to function effectively as parents, workers, and citizens in the United States. These type</w:t>
      </w:r>
      <w:r w:rsidR="00174BF0">
        <w:rPr>
          <w:rFonts w:asciiTheme="minorHAnsi" w:hAnsiTheme="minorHAnsi" w:cs="Helvetica"/>
          <w:sz w:val="22"/>
          <w:szCs w:val="22"/>
        </w:rPr>
        <w:t>s</w:t>
      </w:r>
      <w:r w:rsidRPr="007D3516">
        <w:rPr>
          <w:rFonts w:asciiTheme="minorHAnsi" w:hAnsiTheme="minorHAnsi" w:cs="Helvetica"/>
          <w:sz w:val="22"/>
          <w:szCs w:val="22"/>
        </w:rPr>
        <w:t xml:space="preserve"> of services shall include </w:t>
      </w:r>
      <w:r w:rsidRPr="007D3516">
        <w:rPr>
          <w:rFonts w:asciiTheme="minorHAnsi" w:hAnsiTheme="minorHAnsi" w:cs="Helvetica"/>
          <w:sz w:val="22"/>
          <w:szCs w:val="22"/>
        </w:rPr>
        <w:lastRenderedPageBreak/>
        <w:t>instruction in literacy and English language acquisition and instruction on the rights and responsibilities of citizensh</w:t>
      </w:r>
      <w:r w:rsidR="008C026D">
        <w:rPr>
          <w:rFonts w:asciiTheme="minorHAnsi" w:hAnsiTheme="minorHAnsi" w:cs="Helvetica"/>
          <w:sz w:val="22"/>
          <w:szCs w:val="22"/>
        </w:rPr>
        <w:t xml:space="preserve">ip and civic participation.  They will also </w:t>
      </w:r>
      <w:r w:rsidRPr="007D3516">
        <w:rPr>
          <w:rFonts w:asciiTheme="minorHAnsi" w:hAnsiTheme="minorHAnsi" w:cs="Helvetica"/>
          <w:sz w:val="22"/>
          <w:szCs w:val="22"/>
        </w:rPr>
        <w:t>include workforce training.</w:t>
      </w:r>
      <w:r w:rsidR="00AC22F1">
        <w:rPr>
          <w:rFonts w:asciiTheme="minorHAnsi" w:hAnsiTheme="minorHAnsi" w:cs="Helvetica"/>
          <w:sz w:val="22"/>
          <w:szCs w:val="22"/>
        </w:rPr>
        <w:t xml:space="preserve">  An example</w:t>
      </w:r>
      <w:r w:rsidR="005E1859" w:rsidRPr="007D3516">
        <w:rPr>
          <w:rFonts w:asciiTheme="minorHAnsi" w:hAnsiTheme="minorHAnsi" w:cs="Helvetica"/>
          <w:sz w:val="22"/>
          <w:szCs w:val="22"/>
        </w:rPr>
        <w:t xml:space="preserve"> of </w:t>
      </w:r>
      <w:r w:rsidR="00211AB0">
        <w:rPr>
          <w:rFonts w:asciiTheme="minorHAnsi" w:hAnsiTheme="minorHAnsi" w:cs="Helvetica"/>
          <w:sz w:val="22"/>
          <w:szCs w:val="22"/>
        </w:rPr>
        <w:t xml:space="preserve">this is including </w:t>
      </w:r>
      <w:r w:rsidR="009E0DEC">
        <w:rPr>
          <w:rFonts w:asciiTheme="minorHAnsi" w:hAnsiTheme="minorHAnsi" w:cs="Helvetica"/>
          <w:sz w:val="22"/>
          <w:szCs w:val="22"/>
        </w:rPr>
        <w:t xml:space="preserve">the IELCE </w:t>
      </w:r>
      <w:r w:rsidR="00211AB0">
        <w:rPr>
          <w:rFonts w:asciiTheme="minorHAnsi" w:hAnsiTheme="minorHAnsi" w:cs="Helvetica"/>
          <w:sz w:val="22"/>
          <w:szCs w:val="22"/>
        </w:rPr>
        <w:t xml:space="preserve">students in </w:t>
      </w:r>
      <w:r w:rsidR="009E0DEC">
        <w:rPr>
          <w:rFonts w:asciiTheme="minorHAnsi" w:hAnsiTheme="minorHAnsi" w:cs="Helvetica"/>
          <w:sz w:val="22"/>
          <w:szCs w:val="22"/>
        </w:rPr>
        <w:t xml:space="preserve">the Adult Career Pathways, Bridge, and </w:t>
      </w:r>
      <w:r w:rsidR="005E1859" w:rsidRPr="007D3516">
        <w:rPr>
          <w:rFonts w:asciiTheme="minorHAnsi" w:hAnsiTheme="minorHAnsi" w:cs="Helvetica"/>
          <w:sz w:val="22"/>
          <w:szCs w:val="22"/>
        </w:rPr>
        <w:t xml:space="preserve">Ready to Work programs.  </w:t>
      </w:r>
    </w:p>
    <w:p w14:paraId="1FC5DA58" w14:textId="61C2493A" w:rsidR="00BA27DA" w:rsidRDefault="006846D8" w:rsidP="00211AB0">
      <w:pPr>
        <w:pStyle w:val="NormalWeb"/>
        <w:jc w:val="both"/>
        <w:rPr>
          <w:rFonts w:asciiTheme="minorHAnsi" w:hAnsiTheme="minorHAnsi" w:cs="Helvetica"/>
          <w:sz w:val="22"/>
          <w:szCs w:val="22"/>
        </w:rPr>
      </w:pPr>
      <w:r w:rsidRPr="007D3516">
        <w:rPr>
          <w:rFonts w:asciiTheme="minorHAnsi" w:hAnsiTheme="minorHAnsi" w:cs="Helvetica"/>
          <w:sz w:val="22"/>
          <w:szCs w:val="22"/>
        </w:rPr>
        <w:t>An evidence–based approach using the framework of Integrated Career Pathways</w:t>
      </w:r>
      <w:r w:rsidR="00976AC7">
        <w:rPr>
          <w:rFonts w:asciiTheme="minorHAnsi" w:hAnsiTheme="minorHAnsi" w:cs="Helvetica"/>
          <w:sz w:val="22"/>
          <w:szCs w:val="22"/>
        </w:rPr>
        <w:t xml:space="preserve"> is </w:t>
      </w:r>
      <w:r w:rsidRPr="007D3516">
        <w:rPr>
          <w:rFonts w:asciiTheme="minorHAnsi" w:hAnsiTheme="minorHAnsi" w:cs="Helvetica"/>
          <w:sz w:val="22"/>
          <w:szCs w:val="22"/>
        </w:rPr>
        <w:t xml:space="preserve">used for the non–skilled or skill deficient adults in our state who are non–native English language learners. Instructors from the ELL program and the </w:t>
      </w:r>
      <w:r w:rsidR="00D81BE7">
        <w:rPr>
          <w:rFonts w:asciiTheme="minorHAnsi" w:hAnsiTheme="minorHAnsi" w:cs="Helvetica"/>
          <w:sz w:val="22"/>
          <w:szCs w:val="22"/>
        </w:rPr>
        <w:t xml:space="preserve">workplace, </w:t>
      </w:r>
      <w:r w:rsidR="00976AC7">
        <w:rPr>
          <w:rFonts w:asciiTheme="minorHAnsi" w:hAnsiTheme="minorHAnsi" w:cs="Helvetica"/>
          <w:sz w:val="22"/>
          <w:szCs w:val="22"/>
        </w:rPr>
        <w:t xml:space="preserve">career </w:t>
      </w:r>
      <w:r w:rsidRPr="007D3516">
        <w:rPr>
          <w:rFonts w:asciiTheme="minorHAnsi" w:hAnsiTheme="minorHAnsi" w:cs="Helvetica"/>
          <w:sz w:val="22"/>
          <w:szCs w:val="22"/>
        </w:rPr>
        <w:t>technical education programs integrated instructional model</w:t>
      </w:r>
      <w:r w:rsidR="00D81BE7">
        <w:rPr>
          <w:rFonts w:asciiTheme="minorHAnsi" w:hAnsiTheme="minorHAnsi" w:cs="Helvetica"/>
          <w:sz w:val="22"/>
          <w:szCs w:val="22"/>
        </w:rPr>
        <w:t xml:space="preserve">s </w:t>
      </w:r>
      <w:r w:rsidRPr="007D3516">
        <w:rPr>
          <w:rFonts w:asciiTheme="minorHAnsi" w:hAnsiTheme="minorHAnsi" w:cs="Helvetica"/>
          <w:sz w:val="22"/>
          <w:szCs w:val="22"/>
        </w:rPr>
        <w:t xml:space="preserve">to </w:t>
      </w:r>
      <w:r w:rsidR="007C6FD6" w:rsidRPr="007D3516">
        <w:rPr>
          <w:rFonts w:asciiTheme="minorHAnsi" w:hAnsiTheme="minorHAnsi" w:cs="Helvetica"/>
          <w:sz w:val="22"/>
          <w:szCs w:val="22"/>
        </w:rPr>
        <w:t>train the student effectively and efficiently</w:t>
      </w:r>
      <w:r w:rsidRPr="007D3516">
        <w:rPr>
          <w:rFonts w:asciiTheme="minorHAnsi" w:hAnsiTheme="minorHAnsi" w:cs="Helvetica"/>
          <w:sz w:val="22"/>
          <w:szCs w:val="22"/>
        </w:rPr>
        <w:t xml:space="preserve">. The </w:t>
      </w:r>
      <w:r w:rsidR="00BA27DA">
        <w:rPr>
          <w:rFonts w:asciiTheme="minorHAnsi" w:hAnsiTheme="minorHAnsi" w:cs="Helvetica"/>
          <w:sz w:val="22"/>
          <w:szCs w:val="22"/>
        </w:rPr>
        <w:t xml:space="preserve">IELCE </w:t>
      </w:r>
      <w:r w:rsidRPr="007D3516">
        <w:rPr>
          <w:rFonts w:asciiTheme="minorHAnsi" w:hAnsiTheme="minorHAnsi" w:cs="Helvetica"/>
          <w:sz w:val="22"/>
          <w:szCs w:val="22"/>
        </w:rPr>
        <w:t xml:space="preserve">program seamlessly prepares </w:t>
      </w:r>
      <w:r w:rsidR="00BA27DA">
        <w:rPr>
          <w:rFonts w:asciiTheme="minorHAnsi" w:hAnsiTheme="minorHAnsi" w:cs="Helvetica"/>
          <w:sz w:val="22"/>
          <w:szCs w:val="22"/>
        </w:rPr>
        <w:t>English Language Learners</w:t>
      </w:r>
      <w:r w:rsidRPr="007D3516">
        <w:rPr>
          <w:rFonts w:asciiTheme="minorHAnsi" w:hAnsiTheme="minorHAnsi" w:cs="Helvetica"/>
          <w:sz w:val="22"/>
          <w:szCs w:val="22"/>
        </w:rPr>
        <w:t xml:space="preserve"> for employment opportunities</w:t>
      </w:r>
      <w:r w:rsidR="00BA27DA">
        <w:rPr>
          <w:rFonts w:asciiTheme="minorHAnsi" w:hAnsiTheme="minorHAnsi" w:cs="Helvetica"/>
          <w:sz w:val="22"/>
          <w:szCs w:val="22"/>
        </w:rPr>
        <w:t xml:space="preserve">.  </w:t>
      </w:r>
      <w:r w:rsidRPr="007D3516">
        <w:rPr>
          <w:rFonts w:asciiTheme="minorHAnsi" w:hAnsiTheme="minorHAnsi" w:cs="Helvetica"/>
          <w:sz w:val="22"/>
          <w:szCs w:val="22"/>
        </w:rPr>
        <w:t xml:space="preserve"> </w:t>
      </w:r>
    </w:p>
    <w:p w14:paraId="04561766" w14:textId="5A0A19DC" w:rsidR="007E6233" w:rsidRDefault="007E6233" w:rsidP="007E6233">
      <w:pPr>
        <w:pStyle w:val="NormalWeb"/>
        <w:spacing w:before="0" w:beforeAutospacing="0" w:after="0" w:afterAutospacing="0"/>
        <w:jc w:val="both"/>
        <w:rPr>
          <w:rFonts w:asciiTheme="minorHAnsi" w:hAnsiTheme="minorHAnsi" w:cs="Helvetica"/>
          <w:sz w:val="22"/>
          <w:szCs w:val="22"/>
          <w:u w:val="single"/>
        </w:rPr>
      </w:pPr>
      <w:r w:rsidRPr="004241AD">
        <w:rPr>
          <w:rFonts w:asciiTheme="minorHAnsi" w:hAnsiTheme="minorHAnsi" w:cs="Helvetica"/>
          <w:sz w:val="22"/>
          <w:szCs w:val="22"/>
          <w:u w:val="single"/>
        </w:rPr>
        <w:t>Preparing and Placement in Unsubsidized Employment</w:t>
      </w:r>
      <w:r w:rsidR="001A241F">
        <w:rPr>
          <w:rFonts w:asciiTheme="minorHAnsi" w:hAnsiTheme="minorHAnsi" w:cs="Helvetica"/>
          <w:sz w:val="22"/>
          <w:szCs w:val="22"/>
          <w:u w:val="single"/>
        </w:rPr>
        <w:t xml:space="preserve"> and In-Demand Industries</w:t>
      </w:r>
    </w:p>
    <w:p w14:paraId="508F0628" w14:textId="77777777" w:rsidR="00777BC2" w:rsidRPr="004241AD" w:rsidRDefault="00777BC2" w:rsidP="007E6233">
      <w:pPr>
        <w:pStyle w:val="NormalWeb"/>
        <w:spacing w:before="0" w:beforeAutospacing="0" w:after="0" w:afterAutospacing="0"/>
        <w:jc w:val="both"/>
        <w:rPr>
          <w:rFonts w:asciiTheme="minorHAnsi" w:hAnsiTheme="minorHAnsi" w:cs="Helvetica"/>
          <w:sz w:val="22"/>
          <w:szCs w:val="22"/>
          <w:u w:val="single"/>
        </w:rPr>
      </w:pPr>
    </w:p>
    <w:p w14:paraId="75CC44B8" w14:textId="758021AA" w:rsidR="00A35F06" w:rsidRDefault="001A241F" w:rsidP="007E6233">
      <w:pPr>
        <w:pStyle w:val="NormalWeb"/>
        <w:spacing w:before="0" w:beforeAutospacing="0" w:after="0" w:afterAutospacing="0"/>
        <w:jc w:val="both"/>
        <w:rPr>
          <w:rFonts w:asciiTheme="minorHAnsi" w:hAnsiTheme="minorHAnsi" w:cs="Helvetica"/>
          <w:sz w:val="22"/>
          <w:szCs w:val="22"/>
        </w:rPr>
      </w:pPr>
      <w:r>
        <w:rPr>
          <w:rFonts w:asciiTheme="minorHAnsi" w:hAnsiTheme="minorHAnsi" w:cs="Helvetica"/>
          <w:sz w:val="22"/>
          <w:szCs w:val="22"/>
        </w:rPr>
        <w:t>The state continues to expand training opportunities for the ELL population.  Multiple efforts are currently underway to ensure adult education and IELCE students are afforded opportunities in the high demand areas of manufacturing, healthcare, and construction to name a few. An example is the automobile industry</w:t>
      </w:r>
      <w:r w:rsidR="007C6FD6">
        <w:rPr>
          <w:rFonts w:asciiTheme="minorHAnsi" w:hAnsiTheme="minorHAnsi" w:cs="Helvetica"/>
          <w:sz w:val="22"/>
          <w:szCs w:val="22"/>
        </w:rPr>
        <w:t>,</w:t>
      </w:r>
      <w:r>
        <w:rPr>
          <w:rFonts w:asciiTheme="minorHAnsi" w:hAnsiTheme="minorHAnsi" w:cs="Helvetica"/>
          <w:sz w:val="22"/>
          <w:szCs w:val="22"/>
        </w:rPr>
        <w:t xml:space="preserve"> and the protein processing plants in Alabama.  In manufacturing one of the major players in this collaboration is Mercedes and their Tier 1 and 2 suppliers.  </w:t>
      </w:r>
      <w:r w:rsidR="00A35F06">
        <w:rPr>
          <w:rFonts w:asciiTheme="minorHAnsi" w:hAnsiTheme="minorHAnsi" w:cs="Helvetica"/>
          <w:sz w:val="22"/>
          <w:szCs w:val="22"/>
        </w:rPr>
        <w:t xml:space="preserve">Tyson and Pilgrim’s pride is an example of two collaborative partners in the protein processing plants.  </w:t>
      </w:r>
    </w:p>
    <w:p w14:paraId="38754E8A" w14:textId="77777777" w:rsidR="00A35F06" w:rsidRDefault="00A35F06" w:rsidP="007E6233">
      <w:pPr>
        <w:pStyle w:val="NormalWeb"/>
        <w:spacing w:before="0" w:beforeAutospacing="0" w:after="0" w:afterAutospacing="0"/>
        <w:jc w:val="both"/>
        <w:rPr>
          <w:rFonts w:asciiTheme="minorHAnsi" w:hAnsiTheme="minorHAnsi" w:cs="Helvetica"/>
          <w:sz w:val="22"/>
          <w:szCs w:val="22"/>
        </w:rPr>
      </w:pPr>
    </w:p>
    <w:p w14:paraId="0752DC2D" w14:textId="2D2AD13F" w:rsidR="008F2BEA" w:rsidRDefault="00A35F06" w:rsidP="007E6233">
      <w:pPr>
        <w:pStyle w:val="NormalWeb"/>
        <w:spacing w:before="0" w:beforeAutospacing="0" w:after="0" w:afterAutospacing="0"/>
        <w:jc w:val="both"/>
        <w:rPr>
          <w:rFonts w:asciiTheme="minorHAnsi" w:hAnsiTheme="minorHAnsi" w:cs="Helvetica"/>
          <w:sz w:val="22"/>
          <w:szCs w:val="22"/>
        </w:rPr>
      </w:pPr>
      <w:r>
        <w:rPr>
          <w:rFonts w:asciiTheme="minorHAnsi" w:hAnsiTheme="minorHAnsi" w:cs="Helvetica"/>
          <w:sz w:val="22"/>
          <w:szCs w:val="22"/>
        </w:rPr>
        <w:t>P</w:t>
      </w:r>
      <w:r w:rsidR="006846D8" w:rsidRPr="007D3516">
        <w:rPr>
          <w:rFonts w:asciiTheme="minorHAnsi" w:hAnsiTheme="minorHAnsi" w:cs="Helvetica"/>
          <w:sz w:val="22"/>
          <w:szCs w:val="22"/>
        </w:rPr>
        <w:t>roviders design programs that deliver the activities under WIOA including the integration of literacy and English language instruction with occupa</w:t>
      </w:r>
      <w:r w:rsidR="00EA0B27">
        <w:rPr>
          <w:rFonts w:asciiTheme="minorHAnsi" w:hAnsiTheme="minorHAnsi" w:cs="Helvetica"/>
          <w:sz w:val="22"/>
          <w:szCs w:val="22"/>
        </w:rPr>
        <w:t xml:space="preserve">tional skill training.  Providers will also promote linkages between students and potential </w:t>
      </w:r>
      <w:r w:rsidR="006846D8" w:rsidRPr="007D3516">
        <w:rPr>
          <w:rFonts w:asciiTheme="minorHAnsi" w:hAnsiTheme="minorHAnsi" w:cs="Helvetica"/>
          <w:sz w:val="22"/>
          <w:szCs w:val="22"/>
        </w:rPr>
        <w:t>employers. Providers must prepare English Language Learners for unsubsidized employment in demand industries and occupations that lead to economic self–sufficiency. The activities of the program must reflect the needs of the local, regional workforce area. Civics education</w:t>
      </w:r>
      <w:r w:rsidR="00003C0D">
        <w:rPr>
          <w:rFonts w:asciiTheme="minorHAnsi" w:hAnsiTheme="minorHAnsi" w:cs="Helvetica"/>
          <w:sz w:val="22"/>
          <w:szCs w:val="22"/>
        </w:rPr>
        <w:t>, embedded with training,</w:t>
      </w:r>
      <w:r w:rsidR="006846D8" w:rsidRPr="007D3516">
        <w:rPr>
          <w:rFonts w:asciiTheme="minorHAnsi" w:hAnsiTheme="minorHAnsi" w:cs="Helvetica"/>
          <w:sz w:val="22"/>
          <w:szCs w:val="22"/>
        </w:rPr>
        <w:t xml:space="preserve"> is an integral part of t</w:t>
      </w:r>
      <w:r w:rsidR="00003C0D">
        <w:rPr>
          <w:rFonts w:asciiTheme="minorHAnsi" w:hAnsiTheme="minorHAnsi" w:cs="Helvetica"/>
          <w:sz w:val="22"/>
          <w:szCs w:val="22"/>
        </w:rPr>
        <w:t xml:space="preserve">he English language acquisition </w:t>
      </w:r>
      <w:r w:rsidR="006846D8" w:rsidRPr="007D3516">
        <w:rPr>
          <w:rFonts w:asciiTheme="minorHAnsi" w:hAnsiTheme="minorHAnsi" w:cs="Helvetica"/>
          <w:sz w:val="22"/>
          <w:szCs w:val="22"/>
        </w:rPr>
        <w:t>services for the ELL population. English literacy and civics education classes introduce students to civics–related content and provide them with opportunities to apply that knowledge in their daily lives while building their English language and literacy skills</w:t>
      </w:r>
      <w:r w:rsidR="00003C0D">
        <w:rPr>
          <w:rFonts w:asciiTheme="minorHAnsi" w:hAnsiTheme="minorHAnsi" w:cs="Helvetica"/>
          <w:sz w:val="22"/>
          <w:szCs w:val="22"/>
        </w:rPr>
        <w:t xml:space="preserve"> for the workforce</w:t>
      </w:r>
      <w:r w:rsidR="006846D8" w:rsidRPr="007D3516">
        <w:rPr>
          <w:rFonts w:asciiTheme="minorHAnsi" w:hAnsiTheme="minorHAnsi" w:cs="Helvetica"/>
          <w:sz w:val="22"/>
          <w:szCs w:val="22"/>
        </w:rPr>
        <w:t>. The skills learned in these classes strengthen the ELL adult’s ability to be an active participant and contributor to our communities</w:t>
      </w:r>
      <w:r w:rsidR="00294B44">
        <w:rPr>
          <w:rFonts w:asciiTheme="minorHAnsi" w:hAnsiTheme="minorHAnsi" w:cs="Helvetica"/>
          <w:sz w:val="22"/>
          <w:szCs w:val="22"/>
        </w:rPr>
        <w:t>, workforce,</w:t>
      </w:r>
      <w:r w:rsidR="006846D8" w:rsidRPr="007D3516">
        <w:rPr>
          <w:rFonts w:asciiTheme="minorHAnsi" w:hAnsiTheme="minorHAnsi" w:cs="Helvetica"/>
          <w:sz w:val="22"/>
          <w:szCs w:val="22"/>
        </w:rPr>
        <w:t xml:space="preserve"> and </w:t>
      </w:r>
      <w:r w:rsidR="00294B44">
        <w:rPr>
          <w:rFonts w:asciiTheme="minorHAnsi" w:hAnsiTheme="minorHAnsi" w:cs="Helvetica"/>
          <w:sz w:val="22"/>
          <w:szCs w:val="22"/>
        </w:rPr>
        <w:t xml:space="preserve">local </w:t>
      </w:r>
      <w:r w:rsidR="006846D8" w:rsidRPr="007D3516">
        <w:rPr>
          <w:rFonts w:asciiTheme="minorHAnsi" w:hAnsiTheme="minorHAnsi" w:cs="Helvetica"/>
          <w:sz w:val="22"/>
          <w:szCs w:val="22"/>
        </w:rPr>
        <w:t>economies.</w:t>
      </w:r>
    </w:p>
    <w:p w14:paraId="5EAA28F7" w14:textId="40F265B8" w:rsidR="005C572B" w:rsidRDefault="005C572B" w:rsidP="007E6233">
      <w:pPr>
        <w:pStyle w:val="NormalWeb"/>
        <w:spacing w:before="0" w:beforeAutospacing="0" w:after="0" w:afterAutospacing="0"/>
        <w:jc w:val="both"/>
        <w:rPr>
          <w:rFonts w:asciiTheme="minorHAnsi" w:hAnsiTheme="minorHAnsi" w:cs="Helvetica"/>
          <w:sz w:val="22"/>
          <w:szCs w:val="22"/>
        </w:rPr>
      </w:pPr>
    </w:p>
    <w:p w14:paraId="66F2BD00" w14:textId="19EC0254" w:rsidR="007E6233" w:rsidRDefault="00614264" w:rsidP="007E6233">
      <w:pPr>
        <w:pStyle w:val="NormalWeb"/>
        <w:spacing w:before="0" w:beforeAutospacing="0" w:after="0" w:afterAutospacing="0"/>
        <w:jc w:val="both"/>
        <w:rPr>
          <w:rFonts w:asciiTheme="minorHAnsi" w:hAnsiTheme="minorHAnsi" w:cs="Helvetica"/>
          <w:sz w:val="22"/>
          <w:szCs w:val="22"/>
          <w:u w:val="single"/>
        </w:rPr>
      </w:pPr>
      <w:r w:rsidRPr="004241AD">
        <w:rPr>
          <w:rFonts w:asciiTheme="minorHAnsi" w:hAnsiTheme="minorHAnsi" w:cs="Helvetica"/>
          <w:sz w:val="22"/>
          <w:szCs w:val="22"/>
          <w:u w:val="single"/>
        </w:rPr>
        <w:t>Integration with Local Workforce Development System</w:t>
      </w:r>
    </w:p>
    <w:p w14:paraId="0E22032C" w14:textId="77777777" w:rsidR="00777BC2" w:rsidRPr="004241AD" w:rsidRDefault="00777BC2" w:rsidP="007E6233">
      <w:pPr>
        <w:pStyle w:val="NormalWeb"/>
        <w:spacing w:before="0" w:beforeAutospacing="0" w:after="0" w:afterAutospacing="0"/>
        <w:jc w:val="both"/>
        <w:rPr>
          <w:rFonts w:asciiTheme="minorHAnsi" w:hAnsiTheme="minorHAnsi" w:cs="Helvetica"/>
          <w:sz w:val="22"/>
          <w:szCs w:val="22"/>
          <w:u w:val="single"/>
        </w:rPr>
      </w:pPr>
    </w:p>
    <w:p w14:paraId="5C78876C" w14:textId="479DEA4A" w:rsidR="001D55DF" w:rsidRDefault="006846D8" w:rsidP="007E6233">
      <w:pPr>
        <w:pStyle w:val="NormalWeb"/>
        <w:spacing w:before="0" w:beforeAutospacing="0" w:after="0" w:afterAutospacing="0"/>
        <w:jc w:val="both"/>
        <w:rPr>
          <w:rFonts w:asciiTheme="minorHAnsi" w:hAnsiTheme="minorHAnsi" w:cs="Helvetica"/>
          <w:sz w:val="22"/>
          <w:szCs w:val="22"/>
        </w:rPr>
      </w:pPr>
      <w:r w:rsidRPr="007D3516">
        <w:rPr>
          <w:rFonts w:asciiTheme="minorHAnsi" w:hAnsiTheme="minorHAnsi" w:cs="Helvetica"/>
          <w:sz w:val="22"/>
          <w:szCs w:val="22"/>
        </w:rPr>
        <w:t xml:space="preserve">An increased emphasis </w:t>
      </w:r>
      <w:r w:rsidR="00003C0D">
        <w:rPr>
          <w:rFonts w:asciiTheme="minorHAnsi" w:hAnsiTheme="minorHAnsi" w:cs="Helvetica"/>
          <w:sz w:val="22"/>
          <w:szCs w:val="22"/>
        </w:rPr>
        <w:t xml:space="preserve">is </w:t>
      </w:r>
      <w:r w:rsidR="00DC4774">
        <w:rPr>
          <w:rFonts w:asciiTheme="minorHAnsi" w:hAnsiTheme="minorHAnsi" w:cs="Helvetica"/>
          <w:sz w:val="22"/>
          <w:szCs w:val="22"/>
        </w:rPr>
        <w:t>be</w:t>
      </w:r>
      <w:r w:rsidR="00003C0D">
        <w:rPr>
          <w:rFonts w:asciiTheme="minorHAnsi" w:hAnsiTheme="minorHAnsi" w:cs="Helvetica"/>
          <w:sz w:val="22"/>
          <w:szCs w:val="22"/>
        </w:rPr>
        <w:t>ing</w:t>
      </w:r>
      <w:r w:rsidR="00DC4774">
        <w:rPr>
          <w:rFonts w:asciiTheme="minorHAnsi" w:hAnsiTheme="minorHAnsi" w:cs="Helvetica"/>
          <w:sz w:val="22"/>
          <w:szCs w:val="22"/>
        </w:rPr>
        <w:t xml:space="preserve"> placed </w:t>
      </w:r>
      <w:r w:rsidRPr="007D3516">
        <w:rPr>
          <w:rFonts w:asciiTheme="minorHAnsi" w:hAnsiTheme="minorHAnsi" w:cs="Helvetica"/>
          <w:sz w:val="22"/>
          <w:szCs w:val="22"/>
        </w:rPr>
        <w:t>on college and career rea</w:t>
      </w:r>
      <w:r w:rsidR="008118AD" w:rsidRPr="007D3516">
        <w:rPr>
          <w:rFonts w:asciiTheme="minorHAnsi" w:hAnsiTheme="minorHAnsi" w:cs="Helvetica"/>
          <w:sz w:val="22"/>
          <w:szCs w:val="22"/>
        </w:rPr>
        <w:t>diness standards for IEL</w:t>
      </w:r>
      <w:r w:rsidR="00DC4774">
        <w:rPr>
          <w:rFonts w:asciiTheme="minorHAnsi" w:hAnsiTheme="minorHAnsi" w:cs="Helvetica"/>
          <w:sz w:val="22"/>
          <w:szCs w:val="22"/>
        </w:rPr>
        <w:t>CE participants to</w:t>
      </w:r>
      <w:r w:rsidR="009B2AE3">
        <w:rPr>
          <w:rFonts w:asciiTheme="minorHAnsi" w:hAnsiTheme="minorHAnsi" w:cs="Helvetica"/>
          <w:sz w:val="22"/>
          <w:szCs w:val="22"/>
        </w:rPr>
        <w:t xml:space="preserve"> prepare</w:t>
      </w:r>
      <w:r w:rsidR="008118AD" w:rsidRPr="007D3516">
        <w:rPr>
          <w:rFonts w:asciiTheme="minorHAnsi" w:hAnsiTheme="minorHAnsi" w:cs="Helvetica"/>
          <w:sz w:val="22"/>
          <w:szCs w:val="22"/>
        </w:rPr>
        <w:t xml:space="preserve"> them for additional training and/or employment opportunities</w:t>
      </w:r>
      <w:r w:rsidRPr="007D3516">
        <w:rPr>
          <w:rFonts w:asciiTheme="minorHAnsi" w:hAnsiTheme="minorHAnsi" w:cs="Helvetica"/>
          <w:sz w:val="22"/>
          <w:szCs w:val="22"/>
        </w:rPr>
        <w:t xml:space="preserve">. Providing targeted IET professional </w:t>
      </w:r>
      <w:r w:rsidR="008118AD" w:rsidRPr="007D3516">
        <w:rPr>
          <w:rFonts w:asciiTheme="minorHAnsi" w:hAnsiTheme="minorHAnsi" w:cs="Helvetica"/>
          <w:sz w:val="22"/>
          <w:szCs w:val="22"/>
        </w:rPr>
        <w:t>development to the IELCE</w:t>
      </w:r>
      <w:r w:rsidRPr="007D3516">
        <w:rPr>
          <w:rFonts w:asciiTheme="minorHAnsi" w:hAnsiTheme="minorHAnsi" w:cs="Helvetica"/>
          <w:sz w:val="22"/>
          <w:szCs w:val="22"/>
        </w:rPr>
        <w:t xml:space="preserve"> instructors </w:t>
      </w:r>
      <w:r w:rsidR="00A35F06">
        <w:rPr>
          <w:rFonts w:asciiTheme="minorHAnsi" w:hAnsiTheme="minorHAnsi" w:cs="Helvetica"/>
          <w:sz w:val="22"/>
          <w:szCs w:val="22"/>
        </w:rPr>
        <w:t>is</w:t>
      </w:r>
      <w:r w:rsidRPr="007D3516">
        <w:rPr>
          <w:rFonts w:asciiTheme="minorHAnsi" w:hAnsiTheme="minorHAnsi" w:cs="Helvetica"/>
          <w:sz w:val="22"/>
          <w:szCs w:val="22"/>
        </w:rPr>
        <w:t xml:space="preserve"> crucial in preparing </w:t>
      </w:r>
      <w:r w:rsidR="00DC4774">
        <w:rPr>
          <w:rFonts w:asciiTheme="minorHAnsi" w:hAnsiTheme="minorHAnsi" w:cs="Helvetica"/>
          <w:sz w:val="22"/>
          <w:szCs w:val="22"/>
        </w:rPr>
        <w:t>the English language learner</w:t>
      </w:r>
      <w:r w:rsidRPr="007D3516">
        <w:rPr>
          <w:rFonts w:asciiTheme="minorHAnsi" w:hAnsiTheme="minorHAnsi" w:cs="Helvetica"/>
          <w:sz w:val="22"/>
          <w:szCs w:val="22"/>
        </w:rPr>
        <w:t xml:space="preserve"> pop</w:t>
      </w:r>
      <w:r w:rsidR="008118AD" w:rsidRPr="007D3516">
        <w:rPr>
          <w:rFonts w:asciiTheme="minorHAnsi" w:hAnsiTheme="minorHAnsi" w:cs="Helvetica"/>
          <w:sz w:val="22"/>
          <w:szCs w:val="22"/>
        </w:rPr>
        <w:t>ulation for the workforce</w:t>
      </w:r>
      <w:r w:rsidRPr="007D3516">
        <w:rPr>
          <w:rFonts w:asciiTheme="minorHAnsi" w:hAnsiTheme="minorHAnsi" w:cs="Helvetica"/>
          <w:sz w:val="22"/>
          <w:szCs w:val="22"/>
        </w:rPr>
        <w:t xml:space="preserve">. </w:t>
      </w:r>
      <w:r w:rsidR="00A35F06">
        <w:rPr>
          <w:rFonts w:asciiTheme="minorHAnsi" w:hAnsiTheme="minorHAnsi" w:cs="Helvetica"/>
          <w:sz w:val="22"/>
          <w:szCs w:val="22"/>
        </w:rPr>
        <w:t xml:space="preserve"> Two state specialists have been designated to ensure that IELCE programs are fully implementing the </w:t>
      </w:r>
      <w:r w:rsidR="00DC4774">
        <w:rPr>
          <w:rFonts w:asciiTheme="minorHAnsi" w:hAnsiTheme="minorHAnsi" w:cs="Helvetica"/>
          <w:sz w:val="22"/>
          <w:szCs w:val="22"/>
        </w:rPr>
        <w:t xml:space="preserve">IET </w:t>
      </w:r>
      <w:r w:rsidR="008118AD" w:rsidRPr="007D3516">
        <w:rPr>
          <w:rFonts w:asciiTheme="minorHAnsi" w:hAnsiTheme="minorHAnsi" w:cs="Helvetica"/>
          <w:sz w:val="22"/>
          <w:szCs w:val="22"/>
        </w:rPr>
        <w:t>pathway activit</w:t>
      </w:r>
      <w:r w:rsidR="00A35F06">
        <w:rPr>
          <w:rFonts w:asciiTheme="minorHAnsi" w:hAnsiTheme="minorHAnsi" w:cs="Helvetica"/>
          <w:sz w:val="22"/>
          <w:szCs w:val="22"/>
        </w:rPr>
        <w:t xml:space="preserve">y requirement.  </w:t>
      </w:r>
      <w:r w:rsidR="008118AD" w:rsidRPr="007D3516">
        <w:rPr>
          <w:rFonts w:asciiTheme="minorHAnsi" w:hAnsiTheme="minorHAnsi" w:cs="Helvetica"/>
          <w:sz w:val="22"/>
          <w:szCs w:val="22"/>
        </w:rPr>
        <w:t xml:space="preserve"> </w:t>
      </w:r>
      <w:r w:rsidR="00A35F06">
        <w:rPr>
          <w:rFonts w:asciiTheme="minorHAnsi" w:hAnsiTheme="minorHAnsi" w:cs="Helvetica"/>
          <w:sz w:val="22"/>
          <w:szCs w:val="22"/>
        </w:rPr>
        <w:t>Activities must i</w:t>
      </w:r>
      <w:r w:rsidR="008118AD" w:rsidRPr="007D3516">
        <w:rPr>
          <w:rFonts w:asciiTheme="minorHAnsi" w:hAnsiTheme="minorHAnsi" w:cs="Helvetica"/>
          <w:sz w:val="22"/>
          <w:szCs w:val="22"/>
        </w:rPr>
        <w:t xml:space="preserve">nclude preparation of </w:t>
      </w:r>
      <w:r w:rsidR="00DC4774">
        <w:rPr>
          <w:rFonts w:asciiTheme="minorHAnsi" w:hAnsiTheme="minorHAnsi" w:cs="Helvetica"/>
          <w:sz w:val="22"/>
          <w:szCs w:val="22"/>
        </w:rPr>
        <w:t xml:space="preserve">the ELL </w:t>
      </w:r>
      <w:r w:rsidR="008118AD" w:rsidRPr="007D3516">
        <w:rPr>
          <w:rFonts w:asciiTheme="minorHAnsi" w:hAnsiTheme="minorHAnsi" w:cs="Helvetica"/>
          <w:sz w:val="22"/>
          <w:szCs w:val="22"/>
        </w:rPr>
        <w:t xml:space="preserve">participants for employment opportunities </w:t>
      </w:r>
    </w:p>
    <w:p w14:paraId="0949949A" w14:textId="61AA4727" w:rsidR="00614264" w:rsidRPr="007E6233" w:rsidRDefault="008118AD" w:rsidP="007E6233">
      <w:pPr>
        <w:pStyle w:val="NormalWeb"/>
        <w:spacing w:before="0" w:beforeAutospacing="0" w:after="0" w:afterAutospacing="0"/>
        <w:jc w:val="both"/>
        <w:rPr>
          <w:rFonts w:asciiTheme="minorHAnsi" w:hAnsiTheme="minorHAnsi" w:cs="Helvetica"/>
          <w:b/>
          <w:sz w:val="22"/>
          <w:szCs w:val="22"/>
          <w:u w:val="single"/>
        </w:rPr>
      </w:pPr>
      <w:r w:rsidRPr="007D3516">
        <w:rPr>
          <w:rFonts w:asciiTheme="minorHAnsi" w:hAnsiTheme="minorHAnsi" w:cs="Helvetica"/>
          <w:sz w:val="22"/>
          <w:szCs w:val="22"/>
        </w:rPr>
        <w:t>in the in-demand industries with full coordination with the local workfor</w:t>
      </w:r>
      <w:r w:rsidR="009B2AE3">
        <w:rPr>
          <w:rFonts w:asciiTheme="minorHAnsi" w:hAnsiTheme="minorHAnsi" w:cs="Helvetica"/>
          <w:sz w:val="22"/>
          <w:szCs w:val="22"/>
        </w:rPr>
        <w:t>ce system</w:t>
      </w:r>
      <w:r w:rsidR="00A35F06">
        <w:rPr>
          <w:rFonts w:asciiTheme="minorHAnsi" w:hAnsiTheme="minorHAnsi" w:cs="Helvetica"/>
          <w:sz w:val="22"/>
          <w:szCs w:val="22"/>
        </w:rPr>
        <w:t xml:space="preserve"> (</w:t>
      </w:r>
      <w:r w:rsidR="00A35F06" w:rsidRPr="00A35F06">
        <w:rPr>
          <w:rFonts w:asciiTheme="minorHAnsi" w:hAnsiTheme="minorHAnsi" w:cs="Helvetica"/>
          <w:i/>
          <w:sz w:val="22"/>
          <w:szCs w:val="22"/>
        </w:rPr>
        <w:t>example of in-demand industry collaboration was provided in previous section</w:t>
      </w:r>
      <w:r w:rsidR="00A35F06">
        <w:rPr>
          <w:rFonts w:asciiTheme="minorHAnsi" w:hAnsiTheme="minorHAnsi" w:cs="Helvetica"/>
          <w:sz w:val="22"/>
          <w:szCs w:val="22"/>
        </w:rPr>
        <w:t>)</w:t>
      </w:r>
      <w:r w:rsidR="009B2AE3">
        <w:rPr>
          <w:rFonts w:asciiTheme="minorHAnsi" w:hAnsiTheme="minorHAnsi" w:cs="Helvetica"/>
          <w:sz w:val="22"/>
          <w:szCs w:val="22"/>
        </w:rPr>
        <w:t xml:space="preserve">.  The coordination of placement services through </w:t>
      </w:r>
      <w:r w:rsidRPr="007D3516">
        <w:rPr>
          <w:rFonts w:asciiTheme="minorHAnsi" w:hAnsiTheme="minorHAnsi" w:cs="Helvetica"/>
          <w:sz w:val="22"/>
          <w:szCs w:val="22"/>
        </w:rPr>
        <w:t xml:space="preserve">the </w:t>
      </w:r>
      <w:r w:rsidR="00BF6D47" w:rsidRPr="007D3516">
        <w:rPr>
          <w:rFonts w:asciiTheme="minorHAnsi" w:hAnsiTheme="minorHAnsi" w:cs="Helvetica"/>
          <w:sz w:val="22"/>
          <w:szCs w:val="22"/>
        </w:rPr>
        <w:t>career cent</w:t>
      </w:r>
      <w:r w:rsidR="009B2AE3">
        <w:rPr>
          <w:rFonts w:asciiTheme="minorHAnsi" w:hAnsiTheme="minorHAnsi" w:cs="Helvetica"/>
          <w:sz w:val="22"/>
          <w:szCs w:val="22"/>
        </w:rPr>
        <w:t xml:space="preserve">er </w:t>
      </w:r>
      <w:r w:rsidR="00A35F06">
        <w:rPr>
          <w:rFonts w:asciiTheme="minorHAnsi" w:hAnsiTheme="minorHAnsi" w:cs="Helvetica"/>
          <w:sz w:val="22"/>
          <w:szCs w:val="22"/>
        </w:rPr>
        <w:t xml:space="preserve">partners and community college system </w:t>
      </w:r>
      <w:r w:rsidR="009B2AE3">
        <w:rPr>
          <w:rFonts w:asciiTheme="minorHAnsi" w:hAnsiTheme="minorHAnsi" w:cs="Helvetica"/>
          <w:sz w:val="22"/>
          <w:szCs w:val="22"/>
        </w:rPr>
        <w:t>connect</w:t>
      </w:r>
      <w:r w:rsidR="00A35F06">
        <w:rPr>
          <w:rFonts w:asciiTheme="minorHAnsi" w:hAnsiTheme="minorHAnsi" w:cs="Helvetica"/>
          <w:sz w:val="22"/>
          <w:szCs w:val="22"/>
        </w:rPr>
        <w:t>s</w:t>
      </w:r>
      <w:r w:rsidR="009B2AE3">
        <w:rPr>
          <w:rFonts w:asciiTheme="minorHAnsi" w:hAnsiTheme="minorHAnsi" w:cs="Helvetica"/>
          <w:sz w:val="22"/>
          <w:szCs w:val="22"/>
        </w:rPr>
        <w:t xml:space="preserve"> the IELCE jobseeker to </w:t>
      </w:r>
      <w:r w:rsidR="00BF6D47" w:rsidRPr="007D3516">
        <w:rPr>
          <w:rFonts w:asciiTheme="minorHAnsi" w:hAnsiTheme="minorHAnsi" w:cs="Helvetica"/>
          <w:sz w:val="22"/>
          <w:szCs w:val="22"/>
        </w:rPr>
        <w:t>empl</w:t>
      </w:r>
      <w:r w:rsidR="0032076E">
        <w:rPr>
          <w:rFonts w:asciiTheme="minorHAnsi" w:hAnsiTheme="minorHAnsi" w:cs="Helvetica"/>
          <w:sz w:val="22"/>
          <w:szCs w:val="22"/>
        </w:rPr>
        <w:t xml:space="preserve">oyers.  </w:t>
      </w:r>
      <w:r w:rsidR="009B2AE3">
        <w:rPr>
          <w:rFonts w:asciiTheme="minorHAnsi" w:hAnsiTheme="minorHAnsi" w:cs="Helvetica"/>
          <w:sz w:val="22"/>
          <w:szCs w:val="22"/>
        </w:rPr>
        <w:t>T</w:t>
      </w:r>
      <w:r w:rsidR="00003C0D">
        <w:rPr>
          <w:rFonts w:asciiTheme="minorHAnsi" w:hAnsiTheme="minorHAnsi" w:cs="Helvetica"/>
          <w:sz w:val="22"/>
          <w:szCs w:val="22"/>
        </w:rPr>
        <w:t xml:space="preserve">he </w:t>
      </w:r>
      <w:r w:rsidR="00A35F06">
        <w:rPr>
          <w:rFonts w:asciiTheme="minorHAnsi" w:hAnsiTheme="minorHAnsi" w:cs="Helvetica"/>
          <w:sz w:val="22"/>
          <w:szCs w:val="22"/>
        </w:rPr>
        <w:t>s</w:t>
      </w:r>
      <w:r w:rsidR="00003C0D">
        <w:rPr>
          <w:rFonts w:asciiTheme="minorHAnsi" w:hAnsiTheme="minorHAnsi" w:cs="Helvetica"/>
          <w:sz w:val="22"/>
          <w:szCs w:val="22"/>
        </w:rPr>
        <w:t xml:space="preserve">tate </w:t>
      </w:r>
      <w:r w:rsidR="00A35F06">
        <w:rPr>
          <w:rFonts w:asciiTheme="minorHAnsi" w:hAnsiTheme="minorHAnsi" w:cs="Helvetica"/>
          <w:sz w:val="22"/>
          <w:szCs w:val="22"/>
        </w:rPr>
        <w:t>w</w:t>
      </w:r>
      <w:r w:rsidR="00003C0D">
        <w:rPr>
          <w:rFonts w:asciiTheme="minorHAnsi" w:hAnsiTheme="minorHAnsi" w:cs="Helvetica"/>
          <w:sz w:val="22"/>
          <w:szCs w:val="22"/>
        </w:rPr>
        <w:t>orkforce system</w:t>
      </w:r>
      <w:r w:rsidR="00A35F06">
        <w:rPr>
          <w:rFonts w:asciiTheme="minorHAnsi" w:hAnsiTheme="minorHAnsi" w:cs="Helvetica"/>
          <w:sz w:val="22"/>
          <w:szCs w:val="22"/>
        </w:rPr>
        <w:t xml:space="preserve"> through the community college system</w:t>
      </w:r>
      <w:r w:rsidR="00003C0D">
        <w:rPr>
          <w:rFonts w:asciiTheme="minorHAnsi" w:hAnsiTheme="minorHAnsi" w:cs="Helvetica"/>
          <w:sz w:val="22"/>
          <w:szCs w:val="22"/>
        </w:rPr>
        <w:t xml:space="preserve"> is </w:t>
      </w:r>
      <w:r w:rsidR="009B2AE3">
        <w:rPr>
          <w:rFonts w:asciiTheme="minorHAnsi" w:hAnsiTheme="minorHAnsi" w:cs="Helvetica"/>
          <w:sz w:val="22"/>
          <w:szCs w:val="22"/>
        </w:rPr>
        <w:t xml:space="preserve">launching an </w:t>
      </w:r>
      <w:r w:rsidR="00A35F06" w:rsidRPr="00A35F06">
        <w:rPr>
          <w:rFonts w:asciiTheme="minorHAnsi" w:hAnsiTheme="minorHAnsi" w:cs="Helvetica"/>
          <w:i/>
          <w:sz w:val="22"/>
          <w:szCs w:val="22"/>
        </w:rPr>
        <w:t xml:space="preserve">Industry Recognized </w:t>
      </w:r>
      <w:r w:rsidR="009B2AE3" w:rsidRPr="00A35F06">
        <w:rPr>
          <w:rFonts w:asciiTheme="minorHAnsi" w:hAnsiTheme="minorHAnsi" w:cs="Helvetica"/>
          <w:i/>
          <w:sz w:val="22"/>
          <w:szCs w:val="22"/>
        </w:rPr>
        <w:t xml:space="preserve">Apprenticeship </w:t>
      </w:r>
      <w:r w:rsidR="00A35F06" w:rsidRPr="00A35F06">
        <w:rPr>
          <w:rFonts w:asciiTheme="minorHAnsi" w:hAnsiTheme="minorHAnsi" w:cs="Helvetica"/>
          <w:i/>
          <w:sz w:val="22"/>
          <w:szCs w:val="22"/>
        </w:rPr>
        <w:t>P</w:t>
      </w:r>
      <w:r w:rsidR="009B2AE3" w:rsidRPr="00A35F06">
        <w:rPr>
          <w:rFonts w:asciiTheme="minorHAnsi" w:hAnsiTheme="minorHAnsi" w:cs="Helvetica"/>
          <w:i/>
          <w:sz w:val="22"/>
          <w:szCs w:val="22"/>
        </w:rPr>
        <w:t>rogram</w:t>
      </w:r>
      <w:r w:rsidR="00A35F06">
        <w:rPr>
          <w:rFonts w:asciiTheme="minorHAnsi" w:hAnsiTheme="minorHAnsi" w:cs="Helvetica"/>
          <w:sz w:val="22"/>
          <w:szCs w:val="22"/>
        </w:rPr>
        <w:t xml:space="preserve"> (IRAP)</w:t>
      </w:r>
      <w:r w:rsidR="009B2AE3">
        <w:rPr>
          <w:rFonts w:asciiTheme="minorHAnsi" w:hAnsiTheme="minorHAnsi" w:cs="Helvetica"/>
          <w:sz w:val="22"/>
          <w:szCs w:val="22"/>
        </w:rPr>
        <w:t xml:space="preserve"> </w:t>
      </w:r>
      <w:r w:rsidR="00A35F06">
        <w:rPr>
          <w:rFonts w:asciiTheme="minorHAnsi" w:hAnsiTheme="minorHAnsi" w:cs="Helvetica"/>
          <w:sz w:val="22"/>
          <w:szCs w:val="22"/>
        </w:rPr>
        <w:t xml:space="preserve">to </w:t>
      </w:r>
      <w:r w:rsidR="0032076E">
        <w:rPr>
          <w:rFonts w:asciiTheme="minorHAnsi" w:hAnsiTheme="minorHAnsi" w:cs="Helvetica"/>
          <w:sz w:val="22"/>
          <w:szCs w:val="22"/>
        </w:rPr>
        <w:t xml:space="preserve">provide </w:t>
      </w:r>
      <w:r w:rsidR="00294B44">
        <w:rPr>
          <w:rFonts w:asciiTheme="minorHAnsi" w:hAnsiTheme="minorHAnsi" w:cs="Helvetica"/>
          <w:sz w:val="22"/>
          <w:szCs w:val="22"/>
        </w:rPr>
        <w:t xml:space="preserve">comprehensive support, </w:t>
      </w:r>
      <w:r w:rsidR="0032076E">
        <w:rPr>
          <w:rFonts w:asciiTheme="minorHAnsi" w:hAnsiTheme="minorHAnsi" w:cs="Helvetica"/>
          <w:sz w:val="22"/>
          <w:szCs w:val="22"/>
        </w:rPr>
        <w:t>resource</w:t>
      </w:r>
      <w:r w:rsidR="00CA0DCC">
        <w:rPr>
          <w:rFonts w:asciiTheme="minorHAnsi" w:hAnsiTheme="minorHAnsi" w:cs="Helvetica"/>
          <w:sz w:val="22"/>
          <w:szCs w:val="22"/>
        </w:rPr>
        <w:t>s</w:t>
      </w:r>
      <w:r w:rsidR="00294B44">
        <w:rPr>
          <w:rFonts w:asciiTheme="minorHAnsi" w:hAnsiTheme="minorHAnsi" w:cs="Helvetica"/>
          <w:sz w:val="22"/>
          <w:szCs w:val="22"/>
        </w:rPr>
        <w:t xml:space="preserve">, and on-the-job training opportunities </w:t>
      </w:r>
      <w:r w:rsidR="00A35F06">
        <w:rPr>
          <w:rFonts w:asciiTheme="minorHAnsi" w:hAnsiTheme="minorHAnsi" w:cs="Helvetica"/>
          <w:sz w:val="22"/>
          <w:szCs w:val="22"/>
        </w:rPr>
        <w:t>for</w:t>
      </w:r>
      <w:r w:rsidR="00294B44">
        <w:rPr>
          <w:rFonts w:asciiTheme="minorHAnsi" w:hAnsiTheme="minorHAnsi" w:cs="Helvetica"/>
          <w:sz w:val="22"/>
          <w:szCs w:val="22"/>
        </w:rPr>
        <w:t xml:space="preserve"> </w:t>
      </w:r>
      <w:r w:rsidR="0032076E">
        <w:rPr>
          <w:rFonts w:asciiTheme="minorHAnsi" w:hAnsiTheme="minorHAnsi" w:cs="Helvetica"/>
          <w:sz w:val="22"/>
          <w:szCs w:val="22"/>
        </w:rPr>
        <w:t xml:space="preserve">jobseekers </w:t>
      </w:r>
      <w:r w:rsidR="00A35F06">
        <w:rPr>
          <w:rFonts w:asciiTheme="minorHAnsi" w:hAnsiTheme="minorHAnsi" w:cs="Helvetica"/>
          <w:sz w:val="22"/>
          <w:szCs w:val="22"/>
        </w:rPr>
        <w:t xml:space="preserve">which </w:t>
      </w:r>
      <w:r w:rsidR="0032076E">
        <w:rPr>
          <w:rFonts w:asciiTheme="minorHAnsi" w:hAnsiTheme="minorHAnsi" w:cs="Helvetica"/>
          <w:sz w:val="22"/>
          <w:szCs w:val="22"/>
        </w:rPr>
        <w:t>includ</w:t>
      </w:r>
      <w:r w:rsidR="00A35F06">
        <w:rPr>
          <w:rFonts w:asciiTheme="minorHAnsi" w:hAnsiTheme="minorHAnsi" w:cs="Helvetica"/>
          <w:sz w:val="22"/>
          <w:szCs w:val="22"/>
        </w:rPr>
        <w:t>es</w:t>
      </w:r>
      <w:r w:rsidR="0032076E">
        <w:rPr>
          <w:rFonts w:asciiTheme="minorHAnsi" w:hAnsiTheme="minorHAnsi" w:cs="Helvetica"/>
          <w:sz w:val="22"/>
          <w:szCs w:val="22"/>
        </w:rPr>
        <w:t xml:space="preserve"> </w:t>
      </w:r>
      <w:r w:rsidR="0032076E">
        <w:rPr>
          <w:rFonts w:asciiTheme="minorHAnsi" w:hAnsiTheme="minorHAnsi" w:cs="Helvetica"/>
          <w:sz w:val="22"/>
          <w:szCs w:val="22"/>
        </w:rPr>
        <w:lastRenderedPageBreak/>
        <w:t xml:space="preserve">the </w:t>
      </w:r>
      <w:r w:rsidR="008851B5">
        <w:rPr>
          <w:rFonts w:asciiTheme="minorHAnsi" w:hAnsiTheme="minorHAnsi" w:cs="Helvetica"/>
          <w:sz w:val="22"/>
          <w:szCs w:val="22"/>
        </w:rPr>
        <w:t>adult education</w:t>
      </w:r>
      <w:r w:rsidR="00D5084F">
        <w:rPr>
          <w:rFonts w:asciiTheme="minorHAnsi" w:hAnsiTheme="minorHAnsi" w:cs="Helvetica"/>
          <w:sz w:val="22"/>
          <w:szCs w:val="22"/>
        </w:rPr>
        <w:t>, corrections,</w:t>
      </w:r>
      <w:r w:rsidR="0032076E">
        <w:rPr>
          <w:rFonts w:asciiTheme="minorHAnsi" w:hAnsiTheme="minorHAnsi" w:cs="Helvetica"/>
          <w:sz w:val="22"/>
          <w:szCs w:val="22"/>
        </w:rPr>
        <w:t xml:space="preserve"> and IELCE population</w:t>
      </w:r>
      <w:r w:rsidR="00A35F06">
        <w:rPr>
          <w:rFonts w:asciiTheme="minorHAnsi" w:hAnsiTheme="minorHAnsi" w:cs="Helvetica"/>
          <w:sz w:val="22"/>
          <w:szCs w:val="22"/>
        </w:rPr>
        <w:t>s</w:t>
      </w:r>
      <w:r w:rsidR="0032076E">
        <w:rPr>
          <w:rFonts w:asciiTheme="minorHAnsi" w:hAnsiTheme="minorHAnsi" w:cs="Helvetica"/>
          <w:sz w:val="22"/>
          <w:szCs w:val="22"/>
        </w:rPr>
        <w:t xml:space="preserve">.  </w:t>
      </w:r>
      <w:r w:rsidR="00003C0D">
        <w:rPr>
          <w:rFonts w:asciiTheme="minorHAnsi" w:hAnsiTheme="minorHAnsi" w:cs="Helvetica"/>
          <w:sz w:val="22"/>
          <w:szCs w:val="22"/>
        </w:rPr>
        <w:t xml:space="preserve">Our goal </w:t>
      </w:r>
      <w:r w:rsidR="00A35F06">
        <w:rPr>
          <w:rFonts w:asciiTheme="minorHAnsi" w:hAnsiTheme="minorHAnsi" w:cs="Helvetica"/>
          <w:sz w:val="22"/>
          <w:szCs w:val="22"/>
        </w:rPr>
        <w:t xml:space="preserve">is to continuously improve and enhance services to </w:t>
      </w:r>
      <w:r w:rsidR="002F6E6F">
        <w:rPr>
          <w:rFonts w:asciiTheme="minorHAnsi" w:hAnsiTheme="minorHAnsi" w:cs="Helvetica"/>
          <w:sz w:val="22"/>
          <w:szCs w:val="22"/>
        </w:rPr>
        <w:t xml:space="preserve">all populations, including the IELCE.  </w:t>
      </w:r>
      <w:r w:rsidR="00BF6D47" w:rsidRPr="007D3516">
        <w:rPr>
          <w:rFonts w:asciiTheme="minorHAnsi" w:hAnsiTheme="minorHAnsi" w:cs="Helvetica"/>
          <w:sz w:val="22"/>
          <w:szCs w:val="22"/>
        </w:rPr>
        <w:t xml:space="preserve"> </w:t>
      </w:r>
    </w:p>
    <w:p w14:paraId="66D68520" w14:textId="77777777" w:rsidR="00614264" w:rsidRPr="007D3516" w:rsidRDefault="00614264" w:rsidP="00AC2E77">
      <w:pPr>
        <w:pBdr>
          <w:bottom w:val="single" w:sz="4" w:space="1" w:color="auto"/>
        </w:pBdr>
        <w:autoSpaceDE w:val="0"/>
        <w:autoSpaceDN w:val="0"/>
        <w:adjustRightInd w:val="0"/>
        <w:spacing w:after="0" w:line="240" w:lineRule="auto"/>
        <w:jc w:val="both"/>
        <w:rPr>
          <w:rFonts w:cs="Times New Roman"/>
          <w:b/>
          <w:bCs/>
        </w:rPr>
      </w:pPr>
    </w:p>
    <w:p w14:paraId="4EBE0AC5" w14:textId="77777777" w:rsidR="004241AD" w:rsidRDefault="004241AD" w:rsidP="00A97E5C">
      <w:pPr>
        <w:shd w:val="clear" w:color="auto" w:fill="E7E6E6" w:themeFill="background2"/>
        <w:autoSpaceDE w:val="0"/>
        <w:autoSpaceDN w:val="0"/>
        <w:adjustRightInd w:val="0"/>
        <w:spacing w:after="0" w:line="240" w:lineRule="auto"/>
        <w:jc w:val="both"/>
        <w:rPr>
          <w:rFonts w:cs="Times New Roman"/>
          <w:b/>
          <w:bCs/>
        </w:rPr>
      </w:pPr>
    </w:p>
    <w:p w14:paraId="6BB001DA" w14:textId="6318E3F3" w:rsidR="007F532E" w:rsidRPr="007D3516" w:rsidRDefault="007F532E" w:rsidP="00A97E5C">
      <w:pPr>
        <w:shd w:val="clear" w:color="auto" w:fill="E7E6E6" w:themeFill="background2"/>
        <w:autoSpaceDE w:val="0"/>
        <w:autoSpaceDN w:val="0"/>
        <w:adjustRightInd w:val="0"/>
        <w:spacing w:after="0" w:line="240" w:lineRule="auto"/>
        <w:jc w:val="both"/>
        <w:rPr>
          <w:rFonts w:cs="Times New Roman"/>
          <w:b/>
          <w:bCs/>
        </w:rPr>
      </w:pPr>
      <w:r w:rsidRPr="007D3516">
        <w:rPr>
          <w:rFonts w:cs="Times New Roman"/>
          <w:b/>
          <w:bCs/>
        </w:rPr>
        <w:t>Adult Education Standards</w:t>
      </w:r>
    </w:p>
    <w:p w14:paraId="5A4403AD" w14:textId="77777777" w:rsidR="007F532E" w:rsidRPr="00AC2E77" w:rsidRDefault="007F532E" w:rsidP="00A97E5C">
      <w:pPr>
        <w:shd w:val="clear" w:color="auto" w:fill="E7E6E6" w:themeFill="background2"/>
        <w:autoSpaceDE w:val="0"/>
        <w:autoSpaceDN w:val="0"/>
        <w:adjustRightInd w:val="0"/>
        <w:spacing w:after="0" w:line="240" w:lineRule="auto"/>
        <w:jc w:val="both"/>
        <w:rPr>
          <w:rFonts w:cs="Times New Roman"/>
          <w:i/>
        </w:rPr>
      </w:pPr>
      <w:r w:rsidRPr="00AC2E77">
        <w:rPr>
          <w:rFonts w:cs="Times New Roman"/>
          <w:i/>
        </w:rPr>
        <w:t>If your State has adopted new challenging K-12 standards under title I of the Elementary and</w:t>
      </w:r>
    </w:p>
    <w:p w14:paraId="7E4DEADF" w14:textId="77777777" w:rsidR="007F532E" w:rsidRPr="00AC2E77" w:rsidRDefault="007F532E" w:rsidP="00A97E5C">
      <w:pPr>
        <w:shd w:val="clear" w:color="auto" w:fill="E7E6E6" w:themeFill="background2"/>
        <w:autoSpaceDE w:val="0"/>
        <w:autoSpaceDN w:val="0"/>
        <w:adjustRightInd w:val="0"/>
        <w:spacing w:after="0" w:line="240" w:lineRule="auto"/>
        <w:jc w:val="both"/>
        <w:rPr>
          <w:rFonts w:cs="Times New Roman"/>
          <w:i/>
        </w:rPr>
      </w:pPr>
      <w:r w:rsidRPr="00AC2E77">
        <w:rPr>
          <w:rFonts w:cs="Times New Roman"/>
          <w:i/>
        </w:rPr>
        <w:t>Secondary Education Act of 1965, as amended, describe how your Adult Education content standards are aligned with those K-12 standards.</w:t>
      </w:r>
    </w:p>
    <w:p w14:paraId="0E3863DA" w14:textId="77777777" w:rsidR="00430DD6" w:rsidRPr="00A97E5C" w:rsidRDefault="00430DD6" w:rsidP="00A97E5C">
      <w:pPr>
        <w:shd w:val="clear" w:color="auto" w:fill="E7E6E6" w:themeFill="background2"/>
        <w:autoSpaceDE w:val="0"/>
        <w:autoSpaceDN w:val="0"/>
        <w:adjustRightInd w:val="0"/>
        <w:spacing w:after="0" w:line="240" w:lineRule="auto"/>
        <w:ind w:firstLine="720"/>
        <w:jc w:val="both"/>
        <w:rPr>
          <w:rFonts w:cs="Times New Roman"/>
          <w:i/>
        </w:rPr>
      </w:pPr>
      <w:r w:rsidRPr="00A97E5C">
        <w:rPr>
          <w:rFonts w:cs="Times New Roman"/>
          <w:i/>
        </w:rPr>
        <w:t>Optional – Describe implementation efforts, challenges, and any lessons learned.</w:t>
      </w:r>
    </w:p>
    <w:p w14:paraId="245B58F8" w14:textId="77777777" w:rsidR="00752446" w:rsidRPr="007D3516" w:rsidRDefault="00752446" w:rsidP="00A97E5C">
      <w:pPr>
        <w:pBdr>
          <w:bottom w:val="single" w:sz="4" w:space="1" w:color="auto"/>
        </w:pBdr>
        <w:shd w:val="clear" w:color="auto" w:fill="E7E6E6" w:themeFill="background2"/>
        <w:autoSpaceDE w:val="0"/>
        <w:autoSpaceDN w:val="0"/>
        <w:adjustRightInd w:val="0"/>
        <w:spacing w:after="0" w:line="240" w:lineRule="auto"/>
        <w:jc w:val="both"/>
        <w:rPr>
          <w:rFonts w:cs="Times New Roman"/>
        </w:rPr>
      </w:pPr>
    </w:p>
    <w:p w14:paraId="5F70F377" w14:textId="77777777" w:rsidR="004241AD" w:rsidRDefault="004241AD" w:rsidP="00211AB0">
      <w:pPr>
        <w:autoSpaceDE w:val="0"/>
        <w:autoSpaceDN w:val="0"/>
        <w:adjustRightInd w:val="0"/>
        <w:spacing w:after="0" w:line="240" w:lineRule="auto"/>
        <w:jc w:val="both"/>
        <w:rPr>
          <w:rFonts w:cs="Times New Roman"/>
          <w:b/>
          <w:u w:val="single"/>
        </w:rPr>
      </w:pPr>
    </w:p>
    <w:p w14:paraId="0B39001D" w14:textId="77777777" w:rsidR="00DB053B" w:rsidRDefault="00614264" w:rsidP="00211AB0">
      <w:pPr>
        <w:autoSpaceDE w:val="0"/>
        <w:autoSpaceDN w:val="0"/>
        <w:adjustRightInd w:val="0"/>
        <w:spacing w:after="0" w:line="240" w:lineRule="auto"/>
        <w:jc w:val="both"/>
        <w:rPr>
          <w:rFonts w:cs="Times New Roman"/>
        </w:rPr>
      </w:pPr>
      <w:r w:rsidRPr="007D3516">
        <w:rPr>
          <w:rFonts w:cs="Times New Roman"/>
        </w:rPr>
        <w:t>Alabama Adult Education has adopted the College and Career Readiness</w:t>
      </w:r>
      <w:r w:rsidR="00EF1F3A">
        <w:rPr>
          <w:rFonts w:cs="Times New Roman"/>
        </w:rPr>
        <w:t xml:space="preserve"> (CCR) s</w:t>
      </w:r>
      <w:r w:rsidRPr="007D3516">
        <w:rPr>
          <w:rFonts w:cs="Times New Roman"/>
        </w:rPr>
        <w:t xml:space="preserve">tandards </w:t>
      </w:r>
      <w:r w:rsidR="00864153" w:rsidRPr="007D3516">
        <w:rPr>
          <w:rFonts w:cs="Times New Roman"/>
        </w:rPr>
        <w:t>disseminated thro</w:t>
      </w:r>
      <w:r w:rsidR="00AD2FE7" w:rsidRPr="007D3516">
        <w:rPr>
          <w:rFonts w:cs="Times New Roman"/>
        </w:rPr>
        <w:t xml:space="preserve">ugh the Office of </w:t>
      </w:r>
      <w:r w:rsidR="00864153" w:rsidRPr="007D3516">
        <w:rPr>
          <w:rFonts w:cs="Times New Roman"/>
        </w:rPr>
        <w:t>Career, Technical, and Adult Education</w:t>
      </w:r>
      <w:r w:rsidR="00733D10" w:rsidRPr="007D3516">
        <w:rPr>
          <w:rFonts w:cs="Times New Roman"/>
        </w:rPr>
        <w:t xml:space="preserve"> (OCTAE).  These standards </w:t>
      </w:r>
      <w:r w:rsidR="00864153" w:rsidRPr="007D3516">
        <w:rPr>
          <w:rFonts w:cs="Times New Roman"/>
        </w:rPr>
        <w:t xml:space="preserve">were developed for Adult Education </w:t>
      </w:r>
      <w:r w:rsidR="007D3516">
        <w:rPr>
          <w:rFonts w:cs="Times New Roman"/>
        </w:rPr>
        <w:t xml:space="preserve">in the area(s) of Reading Language Arts (RLA) </w:t>
      </w:r>
      <w:r w:rsidR="00733D10" w:rsidRPr="007D3516">
        <w:rPr>
          <w:rFonts w:cs="Times New Roman"/>
        </w:rPr>
        <w:t>and</w:t>
      </w:r>
      <w:r w:rsidR="007D3516">
        <w:rPr>
          <w:rFonts w:cs="Times New Roman"/>
        </w:rPr>
        <w:t xml:space="preserve"> Mathematics to</w:t>
      </w:r>
      <w:r w:rsidR="00733D10" w:rsidRPr="007D3516">
        <w:rPr>
          <w:rFonts w:cs="Times New Roman"/>
        </w:rPr>
        <w:t xml:space="preserve"> </w:t>
      </w:r>
      <w:r w:rsidR="007D3516">
        <w:rPr>
          <w:rFonts w:cs="Times New Roman"/>
        </w:rPr>
        <w:t>align</w:t>
      </w:r>
      <w:r w:rsidR="00864153" w:rsidRPr="007D3516">
        <w:rPr>
          <w:rFonts w:cs="Times New Roman"/>
        </w:rPr>
        <w:t xml:space="preserve"> </w:t>
      </w:r>
      <w:r w:rsidRPr="007D3516">
        <w:rPr>
          <w:rFonts w:cs="Times New Roman"/>
        </w:rPr>
        <w:t>wit</w:t>
      </w:r>
      <w:r w:rsidR="002523B7">
        <w:rPr>
          <w:rFonts w:cs="Times New Roman"/>
        </w:rPr>
        <w:t xml:space="preserve">h the rigor of the national K-12 </w:t>
      </w:r>
      <w:r w:rsidR="007D3516">
        <w:rPr>
          <w:rFonts w:cs="Times New Roman"/>
        </w:rPr>
        <w:t xml:space="preserve">standards.  </w:t>
      </w:r>
      <w:r w:rsidR="00864153" w:rsidRPr="007D3516">
        <w:rPr>
          <w:rFonts w:cs="Times New Roman"/>
        </w:rPr>
        <w:t xml:space="preserve">Directors and instructors </w:t>
      </w:r>
      <w:r w:rsidR="00033964">
        <w:rPr>
          <w:rFonts w:cs="Times New Roman"/>
        </w:rPr>
        <w:t xml:space="preserve">are part of continuous professional development that support </w:t>
      </w:r>
      <w:r w:rsidR="00864153" w:rsidRPr="007D3516">
        <w:rPr>
          <w:rFonts w:cs="Times New Roman"/>
        </w:rPr>
        <w:t>the implementation of the CCR standards.</w:t>
      </w:r>
      <w:r w:rsidRPr="007D3516">
        <w:rPr>
          <w:rFonts w:cs="Times New Roman"/>
        </w:rPr>
        <w:t xml:space="preserve"> </w:t>
      </w:r>
      <w:r w:rsidR="00410B57" w:rsidRPr="007D3516">
        <w:rPr>
          <w:rFonts w:cs="Times New Roman"/>
        </w:rPr>
        <w:t xml:space="preserve"> </w:t>
      </w:r>
      <w:r w:rsidR="00713D0C" w:rsidRPr="007D3516">
        <w:rPr>
          <w:rFonts w:cs="Times New Roman"/>
        </w:rPr>
        <w:t xml:space="preserve">The CCR standards are the instructional blueprint used in preparing adults for education and training beyond a high school equivalency.  </w:t>
      </w:r>
      <w:r w:rsidR="00410B57" w:rsidRPr="007D3516">
        <w:rPr>
          <w:rFonts w:cs="Times New Roman"/>
        </w:rPr>
        <w:t>T</w:t>
      </w:r>
      <w:r w:rsidR="00E8013B">
        <w:rPr>
          <w:rFonts w:cs="Times New Roman"/>
        </w:rPr>
        <w:t>he standards themselves provide</w:t>
      </w:r>
      <w:r w:rsidR="00733D10" w:rsidRPr="007D3516">
        <w:rPr>
          <w:rFonts w:cs="Times New Roman"/>
        </w:rPr>
        <w:t xml:space="preserve"> our instructors </w:t>
      </w:r>
      <w:r w:rsidR="00033964">
        <w:rPr>
          <w:rFonts w:cs="Times New Roman"/>
        </w:rPr>
        <w:t xml:space="preserve">with the </w:t>
      </w:r>
      <w:r w:rsidR="00733D10" w:rsidRPr="007D3516">
        <w:rPr>
          <w:rFonts w:cs="Times New Roman"/>
        </w:rPr>
        <w:t>objectives</w:t>
      </w:r>
      <w:r w:rsidR="00410B57" w:rsidRPr="007D3516">
        <w:rPr>
          <w:rFonts w:cs="Times New Roman"/>
        </w:rPr>
        <w:t xml:space="preserve"> that students must attain </w:t>
      </w:r>
      <w:r w:rsidR="00713D0C" w:rsidRPr="007D3516">
        <w:rPr>
          <w:rFonts w:cs="Times New Roman"/>
        </w:rPr>
        <w:t>to</w:t>
      </w:r>
      <w:r w:rsidR="00410B57" w:rsidRPr="007D3516">
        <w:rPr>
          <w:rFonts w:cs="Times New Roman"/>
        </w:rPr>
        <w:t xml:space="preserve"> be successful.  Instructors</w:t>
      </w:r>
      <w:r w:rsidR="00033964">
        <w:rPr>
          <w:rFonts w:cs="Times New Roman"/>
        </w:rPr>
        <w:t xml:space="preserve"> </w:t>
      </w:r>
      <w:r w:rsidR="00410B57" w:rsidRPr="007D3516">
        <w:rPr>
          <w:rFonts w:cs="Times New Roman"/>
        </w:rPr>
        <w:t>use these objectives to crea</w:t>
      </w:r>
      <w:r w:rsidR="002523B7">
        <w:rPr>
          <w:rFonts w:cs="Times New Roman"/>
        </w:rPr>
        <w:t xml:space="preserve">te the instructional path </w:t>
      </w:r>
      <w:r w:rsidR="00DB053B">
        <w:rPr>
          <w:rFonts w:cs="Times New Roman"/>
        </w:rPr>
        <w:t xml:space="preserve">to </w:t>
      </w:r>
      <w:r w:rsidR="00410B57" w:rsidRPr="007D3516">
        <w:rPr>
          <w:rFonts w:cs="Times New Roman"/>
        </w:rPr>
        <w:t>hold themselves and students accountable for results</w:t>
      </w:r>
      <w:r w:rsidR="00A76DC4" w:rsidRPr="007D3516">
        <w:rPr>
          <w:rFonts w:cs="Times New Roman"/>
        </w:rPr>
        <w:t xml:space="preserve">.  </w:t>
      </w:r>
      <w:r w:rsidR="00D93D8D">
        <w:rPr>
          <w:rFonts w:cs="Times New Roman"/>
        </w:rPr>
        <w:t>Local programs utilize a Plan</w:t>
      </w:r>
      <w:r w:rsidR="00033964">
        <w:rPr>
          <w:rFonts w:cs="Times New Roman"/>
        </w:rPr>
        <w:t xml:space="preserve"> of Instruction (POI) document for each student.</w:t>
      </w:r>
      <w:r w:rsidR="00EE1E2D">
        <w:rPr>
          <w:rFonts w:cs="Times New Roman"/>
        </w:rPr>
        <w:t xml:space="preserve"> </w:t>
      </w:r>
      <w:r w:rsidR="00033964">
        <w:rPr>
          <w:rFonts w:cs="Times New Roman"/>
        </w:rPr>
        <w:t>The POI</w:t>
      </w:r>
      <w:r w:rsidR="00B75FC0">
        <w:rPr>
          <w:rFonts w:cs="Times New Roman"/>
        </w:rPr>
        <w:t xml:space="preserve"> is </w:t>
      </w:r>
      <w:r w:rsidR="009E2B5C">
        <w:rPr>
          <w:rFonts w:cs="Times New Roman"/>
        </w:rPr>
        <w:t xml:space="preserve">required and allows the instructor </w:t>
      </w:r>
      <w:r w:rsidR="00B75FC0">
        <w:rPr>
          <w:rFonts w:cs="Times New Roman"/>
        </w:rPr>
        <w:t>to create a targeted instructional path</w:t>
      </w:r>
      <w:r w:rsidR="003467E7">
        <w:rPr>
          <w:rFonts w:cs="Times New Roman"/>
        </w:rPr>
        <w:t xml:space="preserve"> to lead to successful outcomes.</w:t>
      </w:r>
      <w:r w:rsidR="00033964">
        <w:rPr>
          <w:rFonts w:cs="Times New Roman"/>
        </w:rPr>
        <w:t xml:space="preserve"> </w:t>
      </w:r>
    </w:p>
    <w:p w14:paraId="24C610E2" w14:textId="77777777" w:rsidR="001A5391" w:rsidRDefault="001A5391" w:rsidP="00211AB0">
      <w:pPr>
        <w:autoSpaceDE w:val="0"/>
        <w:autoSpaceDN w:val="0"/>
        <w:adjustRightInd w:val="0"/>
        <w:spacing w:after="0" w:line="240" w:lineRule="auto"/>
        <w:jc w:val="both"/>
        <w:rPr>
          <w:rFonts w:cs="Times New Roman"/>
        </w:rPr>
      </w:pPr>
    </w:p>
    <w:p w14:paraId="57C63554" w14:textId="77777777" w:rsidR="00A97E5C" w:rsidRDefault="007E6206" w:rsidP="00211AB0">
      <w:pPr>
        <w:autoSpaceDE w:val="0"/>
        <w:autoSpaceDN w:val="0"/>
        <w:adjustRightInd w:val="0"/>
        <w:spacing w:after="0" w:line="240" w:lineRule="auto"/>
        <w:jc w:val="both"/>
        <w:rPr>
          <w:rFonts w:cs="Times New Roman"/>
        </w:rPr>
      </w:pPr>
      <w:r w:rsidRPr="007D3516">
        <w:rPr>
          <w:rFonts w:cs="Times New Roman"/>
        </w:rPr>
        <w:t>Training has occurred</w:t>
      </w:r>
      <w:r>
        <w:rPr>
          <w:rFonts w:cs="Times New Roman"/>
        </w:rPr>
        <w:t xml:space="preserve"> </w:t>
      </w:r>
      <w:r w:rsidR="00362B0C">
        <w:rPr>
          <w:rFonts w:cs="Times New Roman"/>
        </w:rPr>
        <w:t xml:space="preserve">and will continue to occur </w:t>
      </w:r>
      <w:r>
        <w:rPr>
          <w:rFonts w:cs="Times New Roman"/>
        </w:rPr>
        <w:t xml:space="preserve">in multiple formats including </w:t>
      </w:r>
      <w:r w:rsidR="00362B0C">
        <w:rPr>
          <w:rFonts w:cs="Times New Roman"/>
        </w:rPr>
        <w:t xml:space="preserve">instructional </w:t>
      </w:r>
      <w:r>
        <w:rPr>
          <w:rFonts w:cs="Times New Roman"/>
        </w:rPr>
        <w:t xml:space="preserve">workshop sessions, webinars, and </w:t>
      </w:r>
      <w:r w:rsidRPr="007D3516">
        <w:rPr>
          <w:rFonts w:cs="Times New Roman"/>
        </w:rPr>
        <w:t xml:space="preserve">facilitated </w:t>
      </w:r>
      <w:r>
        <w:rPr>
          <w:rFonts w:cs="Times New Roman"/>
        </w:rPr>
        <w:t>d</w:t>
      </w:r>
      <w:r w:rsidR="00305AF1">
        <w:rPr>
          <w:rFonts w:cs="Times New Roman"/>
        </w:rPr>
        <w:t>istance education semester-long</w:t>
      </w:r>
      <w:r>
        <w:rPr>
          <w:rFonts w:cs="Times New Roman"/>
        </w:rPr>
        <w:t xml:space="preserve"> </w:t>
      </w:r>
      <w:r w:rsidR="007E6233">
        <w:rPr>
          <w:rFonts w:cs="Times New Roman"/>
        </w:rPr>
        <w:t xml:space="preserve">courses. </w:t>
      </w:r>
      <w:r w:rsidRPr="007D3516">
        <w:rPr>
          <w:rFonts w:cs="Times New Roman"/>
        </w:rPr>
        <w:t xml:space="preserve">National </w:t>
      </w:r>
      <w:r>
        <w:rPr>
          <w:rFonts w:cs="Times New Roman"/>
        </w:rPr>
        <w:t xml:space="preserve">and state level </w:t>
      </w:r>
      <w:r w:rsidR="00362B0C">
        <w:rPr>
          <w:rFonts w:cs="Times New Roman"/>
        </w:rPr>
        <w:t>resources</w:t>
      </w:r>
      <w:r w:rsidRPr="007D3516">
        <w:rPr>
          <w:rFonts w:cs="Times New Roman"/>
        </w:rPr>
        <w:t xml:space="preserve"> </w:t>
      </w:r>
      <w:r>
        <w:rPr>
          <w:rFonts w:cs="Times New Roman"/>
        </w:rPr>
        <w:t xml:space="preserve">are used </w:t>
      </w:r>
      <w:r w:rsidR="00362B0C">
        <w:rPr>
          <w:rFonts w:cs="Times New Roman"/>
        </w:rPr>
        <w:t xml:space="preserve">to assist instructors in understanding and implementing </w:t>
      </w:r>
      <w:r>
        <w:rPr>
          <w:rFonts w:cs="Times New Roman"/>
        </w:rPr>
        <w:t>the standards.</w:t>
      </w:r>
      <w:r w:rsidR="00EF1F3A">
        <w:rPr>
          <w:rFonts w:cs="Times New Roman"/>
        </w:rPr>
        <w:t xml:space="preserve">  </w:t>
      </w:r>
      <w:r w:rsidR="00315194">
        <w:rPr>
          <w:rFonts w:cs="Times New Roman"/>
        </w:rPr>
        <w:t xml:space="preserve">For example, </w:t>
      </w:r>
      <w:r w:rsidR="008A6F53">
        <w:rPr>
          <w:rFonts w:cs="Times New Roman"/>
        </w:rPr>
        <w:t>the National Center for Family Learning</w:t>
      </w:r>
      <w:r w:rsidR="00557A98">
        <w:rPr>
          <w:rFonts w:cs="Times New Roman"/>
        </w:rPr>
        <w:t xml:space="preserve"> conducted a semester-long</w:t>
      </w:r>
      <w:r w:rsidR="008A6F53">
        <w:rPr>
          <w:rFonts w:cs="Times New Roman"/>
        </w:rPr>
        <w:t xml:space="preserve"> online training for directors and ins</w:t>
      </w:r>
      <w:r w:rsidR="00B75FC0">
        <w:rPr>
          <w:rFonts w:cs="Times New Roman"/>
        </w:rPr>
        <w:t>tructors</w:t>
      </w:r>
      <w:r w:rsidR="008A6F53">
        <w:rPr>
          <w:rFonts w:cs="Times New Roman"/>
        </w:rPr>
        <w:t xml:space="preserve">.  </w:t>
      </w:r>
      <w:r w:rsidR="00122855">
        <w:rPr>
          <w:rFonts w:cs="Times New Roman"/>
        </w:rPr>
        <w:t xml:space="preserve">Another example is the continuous support from the </w:t>
      </w:r>
      <w:r w:rsidR="00EF1F3A">
        <w:rPr>
          <w:rFonts w:cs="Times New Roman"/>
        </w:rPr>
        <w:t>GED</w:t>
      </w:r>
      <w:r w:rsidR="00315194">
        <w:rPr>
          <w:rFonts w:cs="Times New Roman"/>
        </w:rPr>
        <w:t>®</w:t>
      </w:r>
      <w:r w:rsidR="00122855">
        <w:rPr>
          <w:rFonts w:cs="Times New Roman"/>
        </w:rPr>
        <w:t xml:space="preserve"> Testing Service </w:t>
      </w:r>
      <w:r w:rsidR="0032076E">
        <w:rPr>
          <w:rFonts w:cs="Times New Roman"/>
        </w:rPr>
        <w:t>with</w:t>
      </w:r>
      <w:r w:rsidR="00315194">
        <w:rPr>
          <w:rFonts w:cs="Times New Roman"/>
        </w:rPr>
        <w:t xml:space="preserve"> workshops and webinars on GED</w:t>
      </w:r>
      <w:r w:rsidR="00122855">
        <w:rPr>
          <w:rFonts w:cs="Times New Roman"/>
        </w:rPr>
        <w:t>®</w:t>
      </w:r>
      <w:r w:rsidR="00315194">
        <w:rPr>
          <w:rFonts w:cs="Times New Roman"/>
        </w:rPr>
        <w:t xml:space="preserve"> test alignment to the CCRS</w:t>
      </w:r>
      <w:r w:rsidR="00122855">
        <w:rPr>
          <w:rFonts w:cs="Times New Roman"/>
        </w:rPr>
        <w:t xml:space="preserve">.  </w:t>
      </w:r>
      <w:r w:rsidR="00EF1F3A">
        <w:rPr>
          <w:rFonts w:cs="Times New Roman"/>
        </w:rPr>
        <w:t xml:space="preserve">Also, programs </w:t>
      </w:r>
      <w:r w:rsidR="009E2B5C" w:rsidRPr="007D3516">
        <w:rPr>
          <w:rFonts w:cs="Times New Roman"/>
        </w:rPr>
        <w:t>benefit</w:t>
      </w:r>
      <w:r w:rsidR="009E2B5C">
        <w:rPr>
          <w:rFonts w:cs="Times New Roman"/>
        </w:rPr>
        <w:t xml:space="preserve">ted from </w:t>
      </w:r>
      <w:r>
        <w:rPr>
          <w:rFonts w:cs="Times New Roman"/>
        </w:rPr>
        <w:t xml:space="preserve">the </w:t>
      </w:r>
      <w:r w:rsidR="00315194">
        <w:rPr>
          <w:rFonts w:cs="Times New Roman"/>
        </w:rPr>
        <w:t xml:space="preserve">online </w:t>
      </w:r>
      <w:r w:rsidRPr="007D3516">
        <w:rPr>
          <w:rFonts w:cs="Times New Roman"/>
        </w:rPr>
        <w:t>standards courses</w:t>
      </w:r>
      <w:r w:rsidR="009E2B5C">
        <w:rPr>
          <w:rFonts w:cs="Times New Roman"/>
        </w:rPr>
        <w:t xml:space="preserve"> offered through</w:t>
      </w:r>
      <w:r>
        <w:rPr>
          <w:rFonts w:cs="Times New Roman"/>
        </w:rPr>
        <w:t xml:space="preserve"> LINCS</w:t>
      </w:r>
      <w:r w:rsidR="00BF79A9">
        <w:rPr>
          <w:rFonts w:cs="Times New Roman"/>
        </w:rPr>
        <w:t>.</w:t>
      </w:r>
      <w:r w:rsidR="009E2B5C">
        <w:rPr>
          <w:rFonts w:cs="Times New Roman"/>
        </w:rPr>
        <w:t xml:space="preserve"> </w:t>
      </w:r>
      <w:r w:rsidR="00BF79A9">
        <w:rPr>
          <w:rFonts w:cs="Times New Roman"/>
        </w:rPr>
        <w:t xml:space="preserve"> </w:t>
      </w:r>
      <w:r w:rsidRPr="007D3516">
        <w:rPr>
          <w:rFonts w:cs="Times New Roman"/>
        </w:rPr>
        <w:t>The challenge in any process is making sure that implementation occur</w:t>
      </w:r>
      <w:r w:rsidR="007E6233">
        <w:rPr>
          <w:rFonts w:cs="Times New Roman"/>
        </w:rPr>
        <w:t xml:space="preserve">s. </w:t>
      </w:r>
      <w:r w:rsidRPr="007D3516">
        <w:rPr>
          <w:rFonts w:cs="Times New Roman"/>
        </w:rPr>
        <w:t xml:space="preserve">Continuous </w:t>
      </w:r>
      <w:r>
        <w:rPr>
          <w:rFonts w:cs="Times New Roman"/>
        </w:rPr>
        <w:t xml:space="preserve">follow-up and </w:t>
      </w:r>
      <w:r w:rsidRPr="007D3516">
        <w:rPr>
          <w:rFonts w:cs="Times New Roman"/>
        </w:rPr>
        <w:t xml:space="preserve">monitoring </w:t>
      </w:r>
      <w:r w:rsidR="001D78D3">
        <w:rPr>
          <w:rFonts w:cs="Times New Roman"/>
        </w:rPr>
        <w:t>are</w:t>
      </w:r>
      <w:r>
        <w:rPr>
          <w:rFonts w:cs="Times New Roman"/>
        </w:rPr>
        <w:t xml:space="preserve"> used to support and </w:t>
      </w:r>
      <w:r w:rsidRPr="007D3516">
        <w:rPr>
          <w:rFonts w:cs="Times New Roman"/>
        </w:rPr>
        <w:t>ensure implementation.</w:t>
      </w:r>
    </w:p>
    <w:p w14:paraId="5D82785B" w14:textId="69F8B21A" w:rsidR="00296D90" w:rsidRDefault="007E6206" w:rsidP="00211AB0">
      <w:pPr>
        <w:autoSpaceDE w:val="0"/>
        <w:autoSpaceDN w:val="0"/>
        <w:adjustRightInd w:val="0"/>
        <w:spacing w:after="0" w:line="240" w:lineRule="auto"/>
        <w:jc w:val="both"/>
        <w:rPr>
          <w:rFonts w:cs="Times New Roman"/>
        </w:rPr>
      </w:pPr>
      <w:r w:rsidRPr="007D3516">
        <w:rPr>
          <w:rFonts w:cs="Times New Roman"/>
        </w:rPr>
        <w:t xml:space="preserve"> </w:t>
      </w:r>
      <w:r w:rsidR="00122855">
        <w:rPr>
          <w:rFonts w:cs="Times New Roman"/>
        </w:rPr>
        <w:t xml:space="preserve"> </w:t>
      </w:r>
    </w:p>
    <w:p w14:paraId="7150151F" w14:textId="25E3E13D" w:rsidR="007E6206" w:rsidRPr="007D3516" w:rsidRDefault="007E6206" w:rsidP="00A97E5C">
      <w:pPr>
        <w:pBdr>
          <w:top w:val="single" w:sz="4" w:space="1" w:color="auto"/>
        </w:pBdr>
        <w:shd w:val="clear" w:color="auto" w:fill="E7E6E6" w:themeFill="background2"/>
        <w:autoSpaceDE w:val="0"/>
        <w:autoSpaceDN w:val="0"/>
        <w:adjustRightInd w:val="0"/>
        <w:spacing w:after="0" w:line="240" w:lineRule="auto"/>
        <w:jc w:val="both"/>
        <w:rPr>
          <w:rFonts w:cs="Times New Roman"/>
        </w:rPr>
      </w:pPr>
    </w:p>
    <w:p w14:paraId="065032C2" w14:textId="3A329DB7" w:rsidR="007F532E" w:rsidRPr="007D3516" w:rsidRDefault="007F532E" w:rsidP="00A97E5C">
      <w:pPr>
        <w:shd w:val="clear" w:color="auto" w:fill="E7E6E6" w:themeFill="background2"/>
        <w:autoSpaceDE w:val="0"/>
        <w:autoSpaceDN w:val="0"/>
        <w:adjustRightInd w:val="0"/>
        <w:spacing w:after="0" w:line="240" w:lineRule="auto"/>
        <w:jc w:val="both"/>
        <w:rPr>
          <w:rFonts w:cs="Times New Roman"/>
          <w:b/>
          <w:bCs/>
        </w:rPr>
      </w:pPr>
      <w:r w:rsidRPr="007D3516">
        <w:rPr>
          <w:rFonts w:cs="Times New Roman"/>
          <w:b/>
          <w:bCs/>
        </w:rPr>
        <w:t>Programs for Corrections Education and the Education of Other Institutionalized</w:t>
      </w:r>
    </w:p>
    <w:p w14:paraId="4DB7E4B6" w14:textId="77777777" w:rsidR="007F532E" w:rsidRPr="007D3516" w:rsidRDefault="007F532E" w:rsidP="00A97E5C">
      <w:pPr>
        <w:shd w:val="clear" w:color="auto" w:fill="E7E6E6" w:themeFill="background2"/>
        <w:autoSpaceDE w:val="0"/>
        <w:autoSpaceDN w:val="0"/>
        <w:adjustRightInd w:val="0"/>
        <w:spacing w:after="0" w:line="240" w:lineRule="auto"/>
        <w:jc w:val="both"/>
        <w:rPr>
          <w:rFonts w:cs="Times New Roman"/>
        </w:rPr>
      </w:pPr>
      <w:r w:rsidRPr="007D3516">
        <w:rPr>
          <w:rFonts w:cs="Times New Roman"/>
          <w:b/>
          <w:bCs/>
        </w:rPr>
        <w:t xml:space="preserve">Individuals </w:t>
      </w:r>
      <w:r w:rsidRPr="007D3516">
        <w:rPr>
          <w:rFonts w:cs="Times New Roman"/>
        </w:rPr>
        <w:t>(AEFLA Section 225)</w:t>
      </w:r>
    </w:p>
    <w:p w14:paraId="22CE08B7" w14:textId="77777777" w:rsidR="007F532E" w:rsidRPr="004241AD" w:rsidRDefault="007F532E" w:rsidP="00A97E5C">
      <w:pPr>
        <w:shd w:val="clear" w:color="auto" w:fill="E7E6E6" w:themeFill="background2"/>
        <w:autoSpaceDE w:val="0"/>
        <w:autoSpaceDN w:val="0"/>
        <w:adjustRightInd w:val="0"/>
        <w:spacing w:after="0" w:line="240" w:lineRule="auto"/>
        <w:jc w:val="both"/>
        <w:rPr>
          <w:rFonts w:cs="Times New Roman"/>
          <w:i/>
        </w:rPr>
      </w:pPr>
      <w:r w:rsidRPr="004241AD">
        <w:rPr>
          <w:rFonts w:cs="Times New Roman"/>
          <w:i/>
        </w:rPr>
        <w:t>What was the relative rate of recidivism for criminal offend</w:t>
      </w:r>
      <w:r w:rsidR="00291B6B" w:rsidRPr="004241AD">
        <w:rPr>
          <w:rFonts w:cs="Times New Roman"/>
          <w:i/>
        </w:rPr>
        <w:t xml:space="preserve">ers served? Please describe the </w:t>
      </w:r>
      <w:r w:rsidRPr="004241AD">
        <w:rPr>
          <w:rFonts w:cs="Times New Roman"/>
          <w:i/>
        </w:rPr>
        <w:t>methods and factors used in calculating the rate for this reporting period.</w:t>
      </w:r>
    </w:p>
    <w:p w14:paraId="55310BDA" w14:textId="77777777" w:rsidR="00937FEC" w:rsidRPr="007D3516" w:rsidRDefault="00937FEC" w:rsidP="00A97E5C">
      <w:pPr>
        <w:pBdr>
          <w:bottom w:val="single" w:sz="4" w:space="1" w:color="auto"/>
        </w:pBdr>
        <w:shd w:val="clear" w:color="auto" w:fill="E7E6E6" w:themeFill="background2"/>
        <w:autoSpaceDE w:val="0"/>
        <w:autoSpaceDN w:val="0"/>
        <w:adjustRightInd w:val="0"/>
        <w:spacing w:after="0" w:line="240" w:lineRule="auto"/>
        <w:jc w:val="both"/>
        <w:rPr>
          <w:rFonts w:cs="Times New Roman"/>
        </w:rPr>
      </w:pPr>
    </w:p>
    <w:p w14:paraId="55A08CF3" w14:textId="77777777" w:rsidR="004241AD" w:rsidRDefault="004241AD" w:rsidP="00211AB0">
      <w:pPr>
        <w:autoSpaceDE w:val="0"/>
        <w:autoSpaceDN w:val="0"/>
        <w:adjustRightInd w:val="0"/>
        <w:spacing w:after="0" w:line="240" w:lineRule="auto"/>
        <w:jc w:val="both"/>
        <w:rPr>
          <w:rFonts w:cs="Times New Roman"/>
        </w:rPr>
      </w:pPr>
    </w:p>
    <w:p w14:paraId="0B4C2F8E" w14:textId="60668842" w:rsidR="0073104D" w:rsidRPr="0073104D" w:rsidRDefault="000F4B7C" w:rsidP="0073104D">
      <w:pPr>
        <w:autoSpaceDE w:val="0"/>
        <w:autoSpaceDN w:val="0"/>
        <w:adjustRightInd w:val="0"/>
        <w:spacing w:after="0" w:line="240" w:lineRule="auto"/>
        <w:jc w:val="both"/>
        <w:rPr>
          <w:rFonts w:cs="Times New Roman"/>
        </w:rPr>
      </w:pPr>
      <w:r>
        <w:rPr>
          <w:rFonts w:cs="Times New Roman"/>
        </w:rPr>
        <w:t>Alabama</w:t>
      </w:r>
      <w:r w:rsidR="00173585">
        <w:rPr>
          <w:rFonts w:cs="Times New Roman"/>
        </w:rPr>
        <w:t>’s three-year recidivism rate, for</w:t>
      </w:r>
      <w:r w:rsidRPr="000F4B7C">
        <w:rPr>
          <w:rFonts w:cs="Times New Roman"/>
        </w:rPr>
        <w:t xml:space="preserve"> </w:t>
      </w:r>
      <w:r w:rsidR="00173585">
        <w:rPr>
          <w:rFonts w:cs="Times New Roman"/>
        </w:rPr>
        <w:t>inmates and parolees</w:t>
      </w:r>
      <w:r w:rsidRPr="000F4B7C">
        <w:rPr>
          <w:rFonts w:cs="Times New Roman"/>
        </w:rPr>
        <w:t xml:space="preserve"> that were served through adult education programs</w:t>
      </w:r>
      <w:r w:rsidR="00173585">
        <w:rPr>
          <w:rFonts w:cs="Times New Roman"/>
          <w:b/>
        </w:rPr>
        <w:t>, is 3.5%.</w:t>
      </w:r>
      <w:r w:rsidR="00342A85">
        <w:rPr>
          <w:rFonts w:cs="Times New Roman"/>
        </w:rPr>
        <w:t xml:space="preserve">  This rate was </w:t>
      </w:r>
      <w:r w:rsidR="007B0703">
        <w:rPr>
          <w:rFonts w:cs="Times New Roman"/>
        </w:rPr>
        <w:t>determined by using the</w:t>
      </w:r>
      <w:r>
        <w:rPr>
          <w:rFonts w:cs="Times New Roman"/>
        </w:rPr>
        <w:t xml:space="preserve"> number of</w:t>
      </w:r>
      <w:r w:rsidR="007B0703">
        <w:rPr>
          <w:rFonts w:cs="Times New Roman"/>
        </w:rPr>
        <w:t xml:space="preserve"> </w:t>
      </w:r>
      <w:r w:rsidR="00BF6228">
        <w:rPr>
          <w:rFonts w:cs="Times New Roman"/>
        </w:rPr>
        <w:t xml:space="preserve">adult education </w:t>
      </w:r>
      <w:r w:rsidR="007B0703">
        <w:rPr>
          <w:rFonts w:cs="Times New Roman"/>
        </w:rPr>
        <w:t xml:space="preserve">students served </w:t>
      </w:r>
      <w:r>
        <w:rPr>
          <w:rFonts w:cs="Times New Roman"/>
        </w:rPr>
        <w:t xml:space="preserve">through corrections education </w:t>
      </w:r>
      <w:r w:rsidR="007B0703">
        <w:rPr>
          <w:rFonts w:cs="Times New Roman"/>
        </w:rPr>
        <w:t>from three years ago (</w:t>
      </w:r>
      <w:r w:rsidR="00BF6228" w:rsidRPr="00BF6228">
        <w:rPr>
          <w:rFonts w:cs="Times New Roman"/>
          <w:i/>
        </w:rPr>
        <w:t>State fiscal year</w:t>
      </w:r>
      <w:r w:rsidR="00BF6228">
        <w:rPr>
          <w:rFonts w:cs="Times New Roman"/>
        </w:rPr>
        <w:t xml:space="preserve"> </w:t>
      </w:r>
      <w:r w:rsidR="007B0703" w:rsidRPr="007B0703">
        <w:rPr>
          <w:rFonts w:cs="Times New Roman"/>
          <w:i/>
        </w:rPr>
        <w:t>October 1, 201</w:t>
      </w:r>
      <w:r w:rsidR="002F1D17">
        <w:rPr>
          <w:rFonts w:cs="Times New Roman"/>
          <w:i/>
        </w:rPr>
        <w:t>7</w:t>
      </w:r>
      <w:r w:rsidR="007B0703" w:rsidRPr="007B0703">
        <w:rPr>
          <w:rFonts w:cs="Times New Roman"/>
          <w:i/>
        </w:rPr>
        <w:t xml:space="preserve"> to September 30, 201</w:t>
      </w:r>
      <w:r w:rsidR="002F1D17">
        <w:rPr>
          <w:rFonts w:cs="Times New Roman"/>
          <w:i/>
        </w:rPr>
        <w:t>8</w:t>
      </w:r>
      <w:r w:rsidR="007B0703">
        <w:rPr>
          <w:rFonts w:cs="Times New Roman"/>
        </w:rPr>
        <w:t xml:space="preserve">).  </w:t>
      </w:r>
      <w:r>
        <w:rPr>
          <w:rFonts w:cs="Times New Roman"/>
        </w:rPr>
        <w:t xml:space="preserve">Those records were matched with the </w:t>
      </w:r>
      <w:r w:rsidR="00BF6228">
        <w:rPr>
          <w:rFonts w:cs="Times New Roman"/>
        </w:rPr>
        <w:t xml:space="preserve">Alabama Department of Corrections </w:t>
      </w:r>
      <w:r>
        <w:rPr>
          <w:rFonts w:cs="Times New Roman"/>
        </w:rPr>
        <w:t xml:space="preserve">to determine the number of inmates released and the number of those that were reincarcerated.  </w:t>
      </w:r>
      <w:r w:rsidR="00BF6228">
        <w:rPr>
          <w:rFonts w:cs="Times New Roman"/>
        </w:rPr>
        <w:t xml:space="preserve"> </w:t>
      </w:r>
      <w:r w:rsidR="007B0703">
        <w:rPr>
          <w:rFonts w:cs="Times New Roman"/>
        </w:rPr>
        <w:t>T</w:t>
      </w:r>
      <w:r w:rsidR="00342A85">
        <w:rPr>
          <w:rFonts w:cs="Times New Roman"/>
        </w:rPr>
        <w:t xml:space="preserve">he state fiscal year </w:t>
      </w:r>
      <w:r w:rsidR="007C109D">
        <w:rPr>
          <w:rFonts w:cs="Times New Roman"/>
        </w:rPr>
        <w:t>period</w:t>
      </w:r>
      <w:r w:rsidR="00342A85">
        <w:rPr>
          <w:rFonts w:cs="Times New Roman"/>
        </w:rPr>
        <w:t xml:space="preserve"> was used </w:t>
      </w:r>
      <w:r w:rsidR="007B0703">
        <w:rPr>
          <w:rFonts w:cs="Times New Roman"/>
        </w:rPr>
        <w:t xml:space="preserve">to better align with </w:t>
      </w:r>
      <w:r w:rsidR="00342A85">
        <w:rPr>
          <w:rFonts w:cs="Times New Roman"/>
        </w:rPr>
        <w:lastRenderedPageBreak/>
        <w:t>Alabama Department of Corrections</w:t>
      </w:r>
      <w:r w:rsidR="004968D9">
        <w:rPr>
          <w:rFonts w:cs="Times New Roman"/>
        </w:rPr>
        <w:t xml:space="preserve"> (ADOC)</w:t>
      </w:r>
      <w:r w:rsidR="00342A85">
        <w:rPr>
          <w:rFonts w:cs="Times New Roman"/>
        </w:rPr>
        <w:t xml:space="preserve">. </w:t>
      </w:r>
      <w:r>
        <w:rPr>
          <w:rFonts w:cs="Times New Roman"/>
        </w:rPr>
        <w:t xml:space="preserve"> </w:t>
      </w:r>
      <w:r w:rsidR="004968D9">
        <w:rPr>
          <w:rFonts w:cs="Times New Roman"/>
        </w:rPr>
        <w:t>{</w:t>
      </w:r>
      <w:r w:rsidR="004968D9" w:rsidRPr="004968D9">
        <w:rPr>
          <w:rFonts w:cs="Times New Roman"/>
          <w:i/>
        </w:rPr>
        <w:t>A recidivist is defined as an inmate who returns to the ADOC prison system within three years of release from an ADOC jurisdiction</w:t>
      </w:r>
      <w:r w:rsidR="004968D9">
        <w:rPr>
          <w:rFonts w:cs="Times New Roman"/>
        </w:rPr>
        <w:t xml:space="preserve">} </w:t>
      </w:r>
    </w:p>
    <w:p w14:paraId="04C915EF" w14:textId="77777777" w:rsidR="0073104D" w:rsidRDefault="0073104D" w:rsidP="00342A85">
      <w:pPr>
        <w:spacing w:after="0" w:line="240" w:lineRule="auto"/>
        <w:jc w:val="both"/>
      </w:pPr>
    </w:p>
    <w:p w14:paraId="315B1FE8" w14:textId="493FBC62" w:rsidR="00342A85" w:rsidRDefault="00173585" w:rsidP="00342A85">
      <w:pPr>
        <w:spacing w:after="0" w:line="240" w:lineRule="auto"/>
        <w:jc w:val="both"/>
      </w:pPr>
      <w:r>
        <w:t>To determine this rate, data was extracted from</w:t>
      </w:r>
      <w:r w:rsidR="0073104D">
        <w:t xml:space="preserve"> the Alabama Adult Education System of Accountability and Performance (AAESAP), </w:t>
      </w:r>
      <w:r>
        <w:t xml:space="preserve">which identified </w:t>
      </w:r>
      <w:r w:rsidR="002F1D17">
        <w:t>3,612</w:t>
      </w:r>
      <w:r w:rsidR="00D612A6" w:rsidRPr="00342A85">
        <w:t xml:space="preserve"> students</w:t>
      </w:r>
      <w:r w:rsidR="0073104D">
        <w:t xml:space="preserve"> enrolled in adult education programs for </w:t>
      </w:r>
      <w:r w:rsidR="00D612A6" w:rsidRPr="00342A85">
        <w:t>FY 1</w:t>
      </w:r>
      <w:r w:rsidR="0005391A">
        <w:t>8</w:t>
      </w:r>
      <w:r w:rsidR="00D612A6" w:rsidRPr="00342A85">
        <w:t xml:space="preserve"> (Oct. 1, 201</w:t>
      </w:r>
      <w:r w:rsidR="002F1D17">
        <w:t>7</w:t>
      </w:r>
      <w:r w:rsidR="00D612A6" w:rsidRPr="00342A85">
        <w:t xml:space="preserve"> – Sept. 30, 201</w:t>
      </w:r>
      <w:r w:rsidR="0005391A">
        <w:t>8</w:t>
      </w:r>
      <w:r w:rsidR="00D612A6" w:rsidRPr="00342A85">
        <w:t>)</w:t>
      </w:r>
      <w:r w:rsidR="0073104D">
        <w:t xml:space="preserve">.  The Alabama Department of </w:t>
      </w:r>
      <w:r w:rsidR="00D612A6" w:rsidRPr="00342A85">
        <w:t xml:space="preserve">Corrections was able to </w:t>
      </w:r>
      <w:r w:rsidR="0073104D">
        <w:t>determine</w:t>
      </w:r>
      <w:r>
        <w:t>,</w:t>
      </w:r>
      <w:r w:rsidR="0073104D">
        <w:t xml:space="preserve"> by a data </w:t>
      </w:r>
      <w:r w:rsidR="00D612A6" w:rsidRPr="00342A85">
        <w:t>match</w:t>
      </w:r>
      <w:r>
        <w:t>,</w:t>
      </w:r>
      <w:r w:rsidR="00D612A6" w:rsidRPr="00342A85">
        <w:t xml:space="preserve"> </w:t>
      </w:r>
      <w:r w:rsidR="0073104D">
        <w:t xml:space="preserve">that </w:t>
      </w:r>
      <w:r w:rsidR="00D612A6" w:rsidRPr="00342A85">
        <w:t>1,</w:t>
      </w:r>
      <w:r w:rsidR="0005391A">
        <w:t>444</w:t>
      </w:r>
      <w:r w:rsidR="00D612A6" w:rsidRPr="00342A85">
        <w:t xml:space="preserve"> </w:t>
      </w:r>
      <w:r w:rsidR="0073104D">
        <w:t xml:space="preserve">of those </w:t>
      </w:r>
      <w:r w:rsidR="00D612A6" w:rsidRPr="00342A85">
        <w:t xml:space="preserve">students </w:t>
      </w:r>
      <w:r w:rsidR="0073104D">
        <w:t xml:space="preserve">had been released.  </w:t>
      </w:r>
      <w:r w:rsidR="00D612A6" w:rsidRPr="00342A85">
        <w:t>Out of the 1,</w:t>
      </w:r>
      <w:r w:rsidR="0005391A">
        <w:t>444</w:t>
      </w:r>
      <w:r w:rsidR="0073104D">
        <w:t xml:space="preserve"> released students</w:t>
      </w:r>
      <w:r w:rsidR="00D612A6" w:rsidRPr="00342A85">
        <w:t xml:space="preserve">, </w:t>
      </w:r>
      <w:r w:rsidR="0005391A">
        <w:t>50</w:t>
      </w:r>
      <w:r w:rsidR="00D612A6" w:rsidRPr="00342A85">
        <w:t xml:space="preserve"> have returned to </w:t>
      </w:r>
      <w:r w:rsidR="0073104D">
        <w:t xml:space="preserve">prison— a recidivism rate of </w:t>
      </w:r>
      <w:r w:rsidR="0005391A">
        <w:t>3.5</w:t>
      </w:r>
      <w:r w:rsidR="00D612A6" w:rsidRPr="00342A85">
        <w:t xml:space="preserve">%. </w:t>
      </w:r>
    </w:p>
    <w:p w14:paraId="0FE3D5F6" w14:textId="7F22CED0" w:rsidR="0073104D" w:rsidRDefault="0073104D" w:rsidP="00342A85">
      <w:pPr>
        <w:spacing w:after="0" w:line="240" w:lineRule="auto"/>
        <w:jc w:val="both"/>
      </w:pPr>
    </w:p>
    <w:p w14:paraId="7564FE8A" w14:textId="7556BCC4" w:rsidR="00CE2C09" w:rsidRDefault="00CE2C09" w:rsidP="00342A85">
      <w:pPr>
        <w:spacing w:after="0" w:line="240" w:lineRule="auto"/>
        <w:jc w:val="both"/>
      </w:pPr>
      <w:r>
        <w:t xml:space="preserve">This low rate speaks to the efforts of Alabama’s adult education practitioners who serve the incarcerated population through community corrections and </w:t>
      </w:r>
      <w:r w:rsidR="007C109D">
        <w:t>prisons</w:t>
      </w:r>
      <w:r>
        <w:t>.  The dedication of these practitioners has continued through the current COVID -19 pandemic of 2020.  A</w:t>
      </w:r>
      <w:r w:rsidR="00173585">
        <w:t>D</w:t>
      </w:r>
      <w:r>
        <w:t>OC shut down direct access to Alabama’s inmate population on March 15,</w:t>
      </w:r>
      <w:r w:rsidR="00173585">
        <w:t xml:space="preserve"> 2020,</w:t>
      </w:r>
      <w:r>
        <w:t xml:space="preserve"> due to the pandemic, and has not allowed inmates to return to classes as of December 31, 2020.  ADOC has only allowed instructional packets to be provided to students for the students to work </w:t>
      </w:r>
      <w:r w:rsidR="00173585">
        <w:t xml:space="preserve">through </w:t>
      </w:r>
      <w:r>
        <w:t xml:space="preserve">independently in </w:t>
      </w:r>
      <w:r w:rsidR="00173585">
        <w:t xml:space="preserve">their cells. </w:t>
      </w:r>
      <w:r>
        <w:t xml:space="preserve"> </w:t>
      </w:r>
      <w:r w:rsidR="00173585">
        <w:t>I</w:t>
      </w:r>
      <w:r>
        <w:t>nteraction allowed</w:t>
      </w:r>
      <w:r w:rsidR="00173585">
        <w:t xml:space="preserve"> between instructors and students</w:t>
      </w:r>
      <w:r>
        <w:t xml:space="preserve"> has been </w:t>
      </w:r>
      <w:r w:rsidR="00173585">
        <w:t>for</w:t>
      </w:r>
      <w:r>
        <w:t xml:space="preserve"> very specific and limited time</w:t>
      </w:r>
      <w:r w:rsidR="00173585">
        <w:t>,</w:t>
      </w:r>
      <w:r>
        <w:t xml:space="preserve"> either through the fence or in the prison yards</w:t>
      </w:r>
      <w:r w:rsidR="00173585">
        <w:t>, but with about 20 feet separating the teacher and inmate student when factoring in the security fence.  T</w:t>
      </w:r>
      <w:r w:rsidR="0096589D">
        <w:t>he i</w:t>
      </w:r>
      <w:r w:rsidR="00173585">
        <w:t xml:space="preserve">mpact of the pandemic on corrections education in Alabama is not known at this time, but </w:t>
      </w:r>
      <w:r w:rsidR="0096589D">
        <w:t xml:space="preserve">the limited interaction and support that instructors have been allowed to provide </w:t>
      </w:r>
      <w:r w:rsidR="00254638">
        <w:t xml:space="preserve">to students </w:t>
      </w:r>
      <w:r w:rsidR="0096589D">
        <w:t xml:space="preserve">during the pandemic will undoubtedly have </w:t>
      </w:r>
      <w:r w:rsidR="00254638">
        <w:t xml:space="preserve">a </w:t>
      </w:r>
      <w:r w:rsidR="0096589D">
        <w:t xml:space="preserve">negative effect.  </w:t>
      </w:r>
    </w:p>
    <w:p w14:paraId="39D70B17" w14:textId="3D63ED28" w:rsidR="00173585" w:rsidRPr="00173585" w:rsidRDefault="00173585" w:rsidP="00173585">
      <w:pPr>
        <w:tabs>
          <w:tab w:val="left" w:pos="6520"/>
        </w:tabs>
      </w:pPr>
    </w:p>
    <w:sectPr w:rsidR="00173585" w:rsidRPr="00173585" w:rsidSect="00E71115">
      <w:headerReference w:type="default" r:id="rId10"/>
      <w:footerReference w:type="default" r:id="rId11"/>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9C20" w14:textId="77777777" w:rsidR="00534CB8" w:rsidRDefault="00534CB8" w:rsidP="00AB0D05">
      <w:pPr>
        <w:spacing w:after="0" w:line="240" w:lineRule="auto"/>
      </w:pPr>
      <w:r>
        <w:separator/>
      </w:r>
    </w:p>
  </w:endnote>
  <w:endnote w:type="continuationSeparator" w:id="0">
    <w:p w14:paraId="5A21408F" w14:textId="77777777" w:rsidR="00534CB8" w:rsidRDefault="00534CB8" w:rsidP="00AB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190463"/>
      <w:docPartObj>
        <w:docPartGallery w:val="Page Numbers (Bottom of Page)"/>
        <w:docPartUnique/>
      </w:docPartObj>
    </w:sdtPr>
    <w:sdtEndPr/>
    <w:sdtContent>
      <w:p w14:paraId="7ECB312E" w14:textId="7637ADFA" w:rsidR="00DB053B" w:rsidRDefault="00DB05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788D" w:rsidRPr="00D6788D">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425F5D" w:rsidRPr="00777BC2">
          <w:rPr>
            <w:color w:val="767171" w:themeColor="background2" w:themeShade="80"/>
          </w:rPr>
          <w:t>A</w:t>
        </w:r>
        <w:r w:rsidR="00777BC2" w:rsidRPr="00777BC2">
          <w:rPr>
            <w:color w:val="767171" w:themeColor="background2" w:themeShade="80"/>
          </w:rPr>
          <w:t>labama Narrative 2019 - 2020</w:t>
        </w:r>
      </w:p>
    </w:sdtContent>
  </w:sdt>
  <w:p w14:paraId="542AAFE4" w14:textId="77777777" w:rsidR="00DB053B" w:rsidRDefault="00DB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2338" w14:textId="77777777" w:rsidR="00534CB8" w:rsidRDefault="00534CB8" w:rsidP="00AB0D05">
      <w:pPr>
        <w:spacing w:after="0" w:line="240" w:lineRule="auto"/>
      </w:pPr>
      <w:r>
        <w:separator/>
      </w:r>
    </w:p>
  </w:footnote>
  <w:footnote w:type="continuationSeparator" w:id="0">
    <w:p w14:paraId="2F0B3C33" w14:textId="77777777" w:rsidR="00534CB8" w:rsidRDefault="00534CB8" w:rsidP="00AB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76" w14:textId="70A50A49" w:rsidR="00DB053B" w:rsidRPr="00FC3F12" w:rsidRDefault="005A4FB1" w:rsidP="005A4FB1">
    <w:pPr>
      <w:pStyle w:val="Heading1"/>
      <w:pBdr>
        <w:bottom w:val="single" w:sz="4" w:space="1" w:color="auto"/>
      </w:pBdr>
      <w:tabs>
        <w:tab w:val="left" w:pos="450"/>
        <w:tab w:val="center" w:pos="5040"/>
      </w:tabs>
      <w:rPr>
        <w:b/>
        <w:color w:val="auto"/>
        <w:sz w:val="28"/>
        <w:szCs w:val="28"/>
      </w:rPr>
    </w:pPr>
    <w:r>
      <w:rPr>
        <w:b/>
        <w:color w:val="auto"/>
        <w:sz w:val="28"/>
        <w:szCs w:val="28"/>
      </w:rPr>
      <w:tab/>
    </w:r>
    <w:r>
      <w:rPr>
        <w:noProof/>
      </w:rPr>
      <w:drawing>
        <wp:inline distT="0" distB="0" distL="0" distR="0" wp14:anchorId="2328124B" wp14:editId="09931E8B">
          <wp:extent cx="64008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73174"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404"/>
    <w:multiLevelType w:val="hybridMultilevel"/>
    <w:tmpl w:val="17C8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2582"/>
    <w:multiLevelType w:val="hybridMultilevel"/>
    <w:tmpl w:val="EF7AD040"/>
    <w:lvl w:ilvl="0" w:tplc="A78E72EA">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07B3"/>
    <w:multiLevelType w:val="hybridMultilevel"/>
    <w:tmpl w:val="2098CF5A"/>
    <w:lvl w:ilvl="0" w:tplc="2C763736">
      <w:start w:val="1"/>
      <w:numFmt w:val="bullet"/>
      <w:lvlText w:val=""/>
      <w:lvlJc w:val="left"/>
      <w:pPr>
        <w:tabs>
          <w:tab w:val="num" w:pos="720"/>
        </w:tabs>
        <w:ind w:left="720" w:hanging="360"/>
      </w:pPr>
      <w:rPr>
        <w:rFonts w:ascii="Wingdings" w:hAnsi="Wingdings" w:hint="default"/>
      </w:rPr>
    </w:lvl>
    <w:lvl w:ilvl="1" w:tplc="728A7742">
      <w:start w:val="1"/>
      <w:numFmt w:val="bullet"/>
      <w:lvlText w:val=""/>
      <w:lvlJc w:val="left"/>
      <w:pPr>
        <w:tabs>
          <w:tab w:val="num" w:pos="1440"/>
        </w:tabs>
        <w:ind w:left="1440" w:hanging="360"/>
      </w:pPr>
      <w:rPr>
        <w:rFonts w:ascii="Wingdings" w:hAnsi="Wingdings" w:hint="default"/>
      </w:rPr>
    </w:lvl>
    <w:lvl w:ilvl="2" w:tplc="89C84834" w:tentative="1">
      <w:start w:val="1"/>
      <w:numFmt w:val="bullet"/>
      <w:lvlText w:val=""/>
      <w:lvlJc w:val="left"/>
      <w:pPr>
        <w:tabs>
          <w:tab w:val="num" w:pos="2160"/>
        </w:tabs>
        <w:ind w:left="2160" w:hanging="360"/>
      </w:pPr>
      <w:rPr>
        <w:rFonts w:ascii="Wingdings" w:hAnsi="Wingdings" w:hint="default"/>
      </w:rPr>
    </w:lvl>
    <w:lvl w:ilvl="3" w:tplc="811EDC90" w:tentative="1">
      <w:start w:val="1"/>
      <w:numFmt w:val="bullet"/>
      <w:lvlText w:val=""/>
      <w:lvlJc w:val="left"/>
      <w:pPr>
        <w:tabs>
          <w:tab w:val="num" w:pos="2880"/>
        </w:tabs>
        <w:ind w:left="2880" w:hanging="360"/>
      </w:pPr>
      <w:rPr>
        <w:rFonts w:ascii="Wingdings" w:hAnsi="Wingdings" w:hint="default"/>
      </w:rPr>
    </w:lvl>
    <w:lvl w:ilvl="4" w:tplc="264A46DA" w:tentative="1">
      <w:start w:val="1"/>
      <w:numFmt w:val="bullet"/>
      <w:lvlText w:val=""/>
      <w:lvlJc w:val="left"/>
      <w:pPr>
        <w:tabs>
          <w:tab w:val="num" w:pos="3600"/>
        </w:tabs>
        <w:ind w:left="3600" w:hanging="360"/>
      </w:pPr>
      <w:rPr>
        <w:rFonts w:ascii="Wingdings" w:hAnsi="Wingdings" w:hint="default"/>
      </w:rPr>
    </w:lvl>
    <w:lvl w:ilvl="5" w:tplc="924CD4F4" w:tentative="1">
      <w:start w:val="1"/>
      <w:numFmt w:val="bullet"/>
      <w:lvlText w:val=""/>
      <w:lvlJc w:val="left"/>
      <w:pPr>
        <w:tabs>
          <w:tab w:val="num" w:pos="4320"/>
        </w:tabs>
        <w:ind w:left="4320" w:hanging="360"/>
      </w:pPr>
      <w:rPr>
        <w:rFonts w:ascii="Wingdings" w:hAnsi="Wingdings" w:hint="default"/>
      </w:rPr>
    </w:lvl>
    <w:lvl w:ilvl="6" w:tplc="17046024" w:tentative="1">
      <w:start w:val="1"/>
      <w:numFmt w:val="bullet"/>
      <w:lvlText w:val=""/>
      <w:lvlJc w:val="left"/>
      <w:pPr>
        <w:tabs>
          <w:tab w:val="num" w:pos="5040"/>
        </w:tabs>
        <w:ind w:left="5040" w:hanging="360"/>
      </w:pPr>
      <w:rPr>
        <w:rFonts w:ascii="Wingdings" w:hAnsi="Wingdings" w:hint="default"/>
      </w:rPr>
    </w:lvl>
    <w:lvl w:ilvl="7" w:tplc="BF7692C2" w:tentative="1">
      <w:start w:val="1"/>
      <w:numFmt w:val="bullet"/>
      <w:lvlText w:val=""/>
      <w:lvlJc w:val="left"/>
      <w:pPr>
        <w:tabs>
          <w:tab w:val="num" w:pos="5760"/>
        </w:tabs>
        <w:ind w:left="5760" w:hanging="360"/>
      </w:pPr>
      <w:rPr>
        <w:rFonts w:ascii="Wingdings" w:hAnsi="Wingdings" w:hint="default"/>
      </w:rPr>
    </w:lvl>
    <w:lvl w:ilvl="8" w:tplc="944498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33ABD"/>
    <w:multiLevelType w:val="hybridMultilevel"/>
    <w:tmpl w:val="4AB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4793"/>
    <w:multiLevelType w:val="hybridMultilevel"/>
    <w:tmpl w:val="2878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2301"/>
    <w:multiLevelType w:val="hybridMultilevel"/>
    <w:tmpl w:val="D39C9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47A6F"/>
    <w:multiLevelType w:val="hybridMultilevel"/>
    <w:tmpl w:val="AE30E6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C3A9B"/>
    <w:multiLevelType w:val="hybridMultilevel"/>
    <w:tmpl w:val="3112EF06"/>
    <w:lvl w:ilvl="0" w:tplc="806AF1C6">
      <w:start w:val="1"/>
      <w:numFmt w:val="bullet"/>
      <w:lvlText w:val=""/>
      <w:lvlJc w:val="left"/>
      <w:pPr>
        <w:tabs>
          <w:tab w:val="num" w:pos="720"/>
        </w:tabs>
        <w:ind w:left="720" w:hanging="360"/>
      </w:pPr>
      <w:rPr>
        <w:rFonts w:ascii="Wingdings" w:hAnsi="Wingdings" w:hint="default"/>
      </w:rPr>
    </w:lvl>
    <w:lvl w:ilvl="1" w:tplc="EEEA061A">
      <w:start w:val="1"/>
      <w:numFmt w:val="bullet"/>
      <w:lvlText w:val=""/>
      <w:lvlJc w:val="left"/>
      <w:pPr>
        <w:tabs>
          <w:tab w:val="num" w:pos="1440"/>
        </w:tabs>
        <w:ind w:left="1440" w:hanging="360"/>
      </w:pPr>
      <w:rPr>
        <w:rFonts w:ascii="Wingdings" w:hAnsi="Wingdings" w:hint="default"/>
      </w:rPr>
    </w:lvl>
    <w:lvl w:ilvl="2" w:tplc="8550C11A">
      <w:start w:val="41"/>
      <w:numFmt w:val="bullet"/>
      <w:lvlText w:val="•"/>
      <w:lvlJc w:val="left"/>
      <w:pPr>
        <w:tabs>
          <w:tab w:val="num" w:pos="2160"/>
        </w:tabs>
        <w:ind w:left="2160" w:hanging="360"/>
      </w:pPr>
      <w:rPr>
        <w:rFonts w:ascii="Arial" w:hAnsi="Arial" w:hint="default"/>
      </w:rPr>
    </w:lvl>
    <w:lvl w:ilvl="3" w:tplc="A23EB5A6" w:tentative="1">
      <w:start w:val="1"/>
      <w:numFmt w:val="bullet"/>
      <w:lvlText w:val=""/>
      <w:lvlJc w:val="left"/>
      <w:pPr>
        <w:tabs>
          <w:tab w:val="num" w:pos="2880"/>
        </w:tabs>
        <w:ind w:left="2880" w:hanging="360"/>
      </w:pPr>
      <w:rPr>
        <w:rFonts w:ascii="Wingdings" w:hAnsi="Wingdings" w:hint="default"/>
      </w:rPr>
    </w:lvl>
    <w:lvl w:ilvl="4" w:tplc="2040B29A" w:tentative="1">
      <w:start w:val="1"/>
      <w:numFmt w:val="bullet"/>
      <w:lvlText w:val=""/>
      <w:lvlJc w:val="left"/>
      <w:pPr>
        <w:tabs>
          <w:tab w:val="num" w:pos="3600"/>
        </w:tabs>
        <w:ind w:left="3600" w:hanging="360"/>
      </w:pPr>
      <w:rPr>
        <w:rFonts w:ascii="Wingdings" w:hAnsi="Wingdings" w:hint="default"/>
      </w:rPr>
    </w:lvl>
    <w:lvl w:ilvl="5" w:tplc="40BCE89A" w:tentative="1">
      <w:start w:val="1"/>
      <w:numFmt w:val="bullet"/>
      <w:lvlText w:val=""/>
      <w:lvlJc w:val="left"/>
      <w:pPr>
        <w:tabs>
          <w:tab w:val="num" w:pos="4320"/>
        </w:tabs>
        <w:ind w:left="4320" w:hanging="360"/>
      </w:pPr>
      <w:rPr>
        <w:rFonts w:ascii="Wingdings" w:hAnsi="Wingdings" w:hint="default"/>
      </w:rPr>
    </w:lvl>
    <w:lvl w:ilvl="6" w:tplc="081429EE" w:tentative="1">
      <w:start w:val="1"/>
      <w:numFmt w:val="bullet"/>
      <w:lvlText w:val=""/>
      <w:lvlJc w:val="left"/>
      <w:pPr>
        <w:tabs>
          <w:tab w:val="num" w:pos="5040"/>
        </w:tabs>
        <w:ind w:left="5040" w:hanging="360"/>
      </w:pPr>
      <w:rPr>
        <w:rFonts w:ascii="Wingdings" w:hAnsi="Wingdings" w:hint="default"/>
      </w:rPr>
    </w:lvl>
    <w:lvl w:ilvl="7" w:tplc="F5020206" w:tentative="1">
      <w:start w:val="1"/>
      <w:numFmt w:val="bullet"/>
      <w:lvlText w:val=""/>
      <w:lvlJc w:val="left"/>
      <w:pPr>
        <w:tabs>
          <w:tab w:val="num" w:pos="5760"/>
        </w:tabs>
        <w:ind w:left="5760" w:hanging="360"/>
      </w:pPr>
      <w:rPr>
        <w:rFonts w:ascii="Wingdings" w:hAnsi="Wingdings" w:hint="default"/>
      </w:rPr>
    </w:lvl>
    <w:lvl w:ilvl="8" w:tplc="1D964D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062AC"/>
    <w:multiLevelType w:val="hybridMultilevel"/>
    <w:tmpl w:val="B06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28EE"/>
    <w:multiLevelType w:val="hybridMultilevel"/>
    <w:tmpl w:val="000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4575"/>
    <w:multiLevelType w:val="hybridMultilevel"/>
    <w:tmpl w:val="7DE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C7B89"/>
    <w:multiLevelType w:val="hybridMultilevel"/>
    <w:tmpl w:val="2B56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3334C"/>
    <w:multiLevelType w:val="hybridMultilevel"/>
    <w:tmpl w:val="442221DE"/>
    <w:lvl w:ilvl="0" w:tplc="A78E72EA">
      <w:numFmt w:val="bullet"/>
      <w:lvlText w:val=""/>
      <w:lvlJc w:val="left"/>
      <w:pPr>
        <w:ind w:left="1440" w:hanging="360"/>
      </w:pPr>
      <w:rPr>
        <w:rFonts w:ascii="Calibri" w:eastAsia="SymbolMT" w:hAnsi="Calibri"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AE47A7"/>
    <w:multiLevelType w:val="hybridMultilevel"/>
    <w:tmpl w:val="0DD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150E8"/>
    <w:multiLevelType w:val="hybridMultilevel"/>
    <w:tmpl w:val="4B30CA54"/>
    <w:lvl w:ilvl="0" w:tplc="ABCC21B0">
      <w:start w:val="1"/>
      <w:numFmt w:val="bullet"/>
      <w:lvlText w:val=""/>
      <w:lvlJc w:val="left"/>
      <w:pPr>
        <w:tabs>
          <w:tab w:val="num" w:pos="720"/>
        </w:tabs>
        <w:ind w:left="720" w:hanging="360"/>
      </w:pPr>
      <w:rPr>
        <w:rFonts w:ascii="Wingdings" w:hAnsi="Wingdings" w:hint="default"/>
      </w:rPr>
    </w:lvl>
    <w:lvl w:ilvl="1" w:tplc="E38AB95C" w:tentative="1">
      <w:start w:val="1"/>
      <w:numFmt w:val="bullet"/>
      <w:lvlText w:val=""/>
      <w:lvlJc w:val="left"/>
      <w:pPr>
        <w:tabs>
          <w:tab w:val="num" w:pos="1440"/>
        </w:tabs>
        <w:ind w:left="1440" w:hanging="360"/>
      </w:pPr>
      <w:rPr>
        <w:rFonts w:ascii="Wingdings" w:hAnsi="Wingdings" w:hint="default"/>
      </w:rPr>
    </w:lvl>
    <w:lvl w:ilvl="2" w:tplc="7E867CB4" w:tentative="1">
      <w:start w:val="1"/>
      <w:numFmt w:val="bullet"/>
      <w:lvlText w:val=""/>
      <w:lvlJc w:val="left"/>
      <w:pPr>
        <w:tabs>
          <w:tab w:val="num" w:pos="2160"/>
        </w:tabs>
        <w:ind w:left="2160" w:hanging="360"/>
      </w:pPr>
      <w:rPr>
        <w:rFonts w:ascii="Wingdings" w:hAnsi="Wingdings" w:hint="default"/>
      </w:rPr>
    </w:lvl>
    <w:lvl w:ilvl="3" w:tplc="9FCA7E54" w:tentative="1">
      <w:start w:val="1"/>
      <w:numFmt w:val="bullet"/>
      <w:lvlText w:val=""/>
      <w:lvlJc w:val="left"/>
      <w:pPr>
        <w:tabs>
          <w:tab w:val="num" w:pos="2880"/>
        </w:tabs>
        <w:ind w:left="2880" w:hanging="360"/>
      </w:pPr>
      <w:rPr>
        <w:rFonts w:ascii="Wingdings" w:hAnsi="Wingdings" w:hint="default"/>
      </w:rPr>
    </w:lvl>
    <w:lvl w:ilvl="4" w:tplc="FA148052" w:tentative="1">
      <w:start w:val="1"/>
      <w:numFmt w:val="bullet"/>
      <w:lvlText w:val=""/>
      <w:lvlJc w:val="left"/>
      <w:pPr>
        <w:tabs>
          <w:tab w:val="num" w:pos="3600"/>
        </w:tabs>
        <w:ind w:left="3600" w:hanging="360"/>
      </w:pPr>
      <w:rPr>
        <w:rFonts w:ascii="Wingdings" w:hAnsi="Wingdings" w:hint="default"/>
      </w:rPr>
    </w:lvl>
    <w:lvl w:ilvl="5" w:tplc="3C304866" w:tentative="1">
      <w:start w:val="1"/>
      <w:numFmt w:val="bullet"/>
      <w:lvlText w:val=""/>
      <w:lvlJc w:val="left"/>
      <w:pPr>
        <w:tabs>
          <w:tab w:val="num" w:pos="4320"/>
        </w:tabs>
        <w:ind w:left="4320" w:hanging="360"/>
      </w:pPr>
      <w:rPr>
        <w:rFonts w:ascii="Wingdings" w:hAnsi="Wingdings" w:hint="default"/>
      </w:rPr>
    </w:lvl>
    <w:lvl w:ilvl="6" w:tplc="ED184840" w:tentative="1">
      <w:start w:val="1"/>
      <w:numFmt w:val="bullet"/>
      <w:lvlText w:val=""/>
      <w:lvlJc w:val="left"/>
      <w:pPr>
        <w:tabs>
          <w:tab w:val="num" w:pos="5040"/>
        </w:tabs>
        <w:ind w:left="5040" w:hanging="360"/>
      </w:pPr>
      <w:rPr>
        <w:rFonts w:ascii="Wingdings" w:hAnsi="Wingdings" w:hint="default"/>
      </w:rPr>
    </w:lvl>
    <w:lvl w:ilvl="7" w:tplc="4878B284" w:tentative="1">
      <w:start w:val="1"/>
      <w:numFmt w:val="bullet"/>
      <w:lvlText w:val=""/>
      <w:lvlJc w:val="left"/>
      <w:pPr>
        <w:tabs>
          <w:tab w:val="num" w:pos="5760"/>
        </w:tabs>
        <w:ind w:left="5760" w:hanging="360"/>
      </w:pPr>
      <w:rPr>
        <w:rFonts w:ascii="Wingdings" w:hAnsi="Wingdings" w:hint="default"/>
      </w:rPr>
    </w:lvl>
    <w:lvl w:ilvl="8" w:tplc="07FE0A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F1CA9"/>
    <w:multiLevelType w:val="hybridMultilevel"/>
    <w:tmpl w:val="571A0C3C"/>
    <w:lvl w:ilvl="0" w:tplc="A70CE706">
      <w:start w:val="1"/>
      <w:numFmt w:val="bullet"/>
      <w:lvlText w:val=""/>
      <w:lvlJc w:val="left"/>
      <w:pPr>
        <w:tabs>
          <w:tab w:val="num" w:pos="720"/>
        </w:tabs>
        <w:ind w:left="720" w:hanging="360"/>
      </w:pPr>
      <w:rPr>
        <w:rFonts w:ascii="Wingdings" w:hAnsi="Wingdings" w:hint="default"/>
      </w:rPr>
    </w:lvl>
    <w:lvl w:ilvl="1" w:tplc="893893B6">
      <w:start w:val="1"/>
      <w:numFmt w:val="bullet"/>
      <w:lvlText w:val=""/>
      <w:lvlJc w:val="left"/>
      <w:pPr>
        <w:tabs>
          <w:tab w:val="num" w:pos="1440"/>
        </w:tabs>
        <w:ind w:left="1440" w:hanging="360"/>
      </w:pPr>
      <w:rPr>
        <w:rFonts w:ascii="Wingdings" w:hAnsi="Wingdings" w:hint="default"/>
      </w:rPr>
    </w:lvl>
    <w:lvl w:ilvl="2" w:tplc="2AD0E460" w:tentative="1">
      <w:start w:val="1"/>
      <w:numFmt w:val="bullet"/>
      <w:lvlText w:val=""/>
      <w:lvlJc w:val="left"/>
      <w:pPr>
        <w:tabs>
          <w:tab w:val="num" w:pos="2160"/>
        </w:tabs>
        <w:ind w:left="2160" w:hanging="360"/>
      </w:pPr>
      <w:rPr>
        <w:rFonts w:ascii="Wingdings" w:hAnsi="Wingdings" w:hint="default"/>
      </w:rPr>
    </w:lvl>
    <w:lvl w:ilvl="3" w:tplc="E0E41440" w:tentative="1">
      <w:start w:val="1"/>
      <w:numFmt w:val="bullet"/>
      <w:lvlText w:val=""/>
      <w:lvlJc w:val="left"/>
      <w:pPr>
        <w:tabs>
          <w:tab w:val="num" w:pos="2880"/>
        </w:tabs>
        <w:ind w:left="2880" w:hanging="360"/>
      </w:pPr>
      <w:rPr>
        <w:rFonts w:ascii="Wingdings" w:hAnsi="Wingdings" w:hint="default"/>
      </w:rPr>
    </w:lvl>
    <w:lvl w:ilvl="4" w:tplc="2630548E" w:tentative="1">
      <w:start w:val="1"/>
      <w:numFmt w:val="bullet"/>
      <w:lvlText w:val=""/>
      <w:lvlJc w:val="left"/>
      <w:pPr>
        <w:tabs>
          <w:tab w:val="num" w:pos="3600"/>
        </w:tabs>
        <w:ind w:left="3600" w:hanging="360"/>
      </w:pPr>
      <w:rPr>
        <w:rFonts w:ascii="Wingdings" w:hAnsi="Wingdings" w:hint="default"/>
      </w:rPr>
    </w:lvl>
    <w:lvl w:ilvl="5" w:tplc="5CA45B4C" w:tentative="1">
      <w:start w:val="1"/>
      <w:numFmt w:val="bullet"/>
      <w:lvlText w:val=""/>
      <w:lvlJc w:val="left"/>
      <w:pPr>
        <w:tabs>
          <w:tab w:val="num" w:pos="4320"/>
        </w:tabs>
        <w:ind w:left="4320" w:hanging="360"/>
      </w:pPr>
      <w:rPr>
        <w:rFonts w:ascii="Wingdings" w:hAnsi="Wingdings" w:hint="default"/>
      </w:rPr>
    </w:lvl>
    <w:lvl w:ilvl="6" w:tplc="F3D24C22" w:tentative="1">
      <w:start w:val="1"/>
      <w:numFmt w:val="bullet"/>
      <w:lvlText w:val=""/>
      <w:lvlJc w:val="left"/>
      <w:pPr>
        <w:tabs>
          <w:tab w:val="num" w:pos="5040"/>
        </w:tabs>
        <w:ind w:left="5040" w:hanging="360"/>
      </w:pPr>
      <w:rPr>
        <w:rFonts w:ascii="Wingdings" w:hAnsi="Wingdings" w:hint="default"/>
      </w:rPr>
    </w:lvl>
    <w:lvl w:ilvl="7" w:tplc="32C2B688" w:tentative="1">
      <w:start w:val="1"/>
      <w:numFmt w:val="bullet"/>
      <w:lvlText w:val=""/>
      <w:lvlJc w:val="left"/>
      <w:pPr>
        <w:tabs>
          <w:tab w:val="num" w:pos="5760"/>
        </w:tabs>
        <w:ind w:left="5760" w:hanging="360"/>
      </w:pPr>
      <w:rPr>
        <w:rFonts w:ascii="Wingdings" w:hAnsi="Wingdings" w:hint="default"/>
      </w:rPr>
    </w:lvl>
    <w:lvl w:ilvl="8" w:tplc="2864DC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E21B9"/>
    <w:multiLevelType w:val="hybridMultilevel"/>
    <w:tmpl w:val="FEFE2196"/>
    <w:lvl w:ilvl="0" w:tplc="B9129FB8">
      <w:start w:val="1"/>
      <w:numFmt w:val="bullet"/>
      <w:lvlText w:val=""/>
      <w:lvlJc w:val="left"/>
      <w:pPr>
        <w:tabs>
          <w:tab w:val="num" w:pos="720"/>
        </w:tabs>
        <w:ind w:left="720" w:hanging="360"/>
      </w:pPr>
      <w:rPr>
        <w:rFonts w:ascii="Wingdings" w:hAnsi="Wingdings" w:hint="default"/>
      </w:rPr>
    </w:lvl>
    <w:lvl w:ilvl="1" w:tplc="E7F665B6">
      <w:start w:val="1"/>
      <w:numFmt w:val="bullet"/>
      <w:lvlText w:val=""/>
      <w:lvlJc w:val="left"/>
      <w:pPr>
        <w:tabs>
          <w:tab w:val="num" w:pos="1440"/>
        </w:tabs>
        <w:ind w:left="1440" w:hanging="360"/>
      </w:pPr>
      <w:rPr>
        <w:rFonts w:ascii="Wingdings" w:hAnsi="Wingdings" w:hint="default"/>
      </w:rPr>
    </w:lvl>
    <w:lvl w:ilvl="2" w:tplc="8E74697E" w:tentative="1">
      <w:start w:val="1"/>
      <w:numFmt w:val="bullet"/>
      <w:lvlText w:val=""/>
      <w:lvlJc w:val="left"/>
      <w:pPr>
        <w:tabs>
          <w:tab w:val="num" w:pos="2160"/>
        </w:tabs>
        <w:ind w:left="2160" w:hanging="360"/>
      </w:pPr>
      <w:rPr>
        <w:rFonts w:ascii="Wingdings" w:hAnsi="Wingdings" w:hint="default"/>
      </w:rPr>
    </w:lvl>
    <w:lvl w:ilvl="3" w:tplc="8CD42320" w:tentative="1">
      <w:start w:val="1"/>
      <w:numFmt w:val="bullet"/>
      <w:lvlText w:val=""/>
      <w:lvlJc w:val="left"/>
      <w:pPr>
        <w:tabs>
          <w:tab w:val="num" w:pos="2880"/>
        </w:tabs>
        <w:ind w:left="2880" w:hanging="360"/>
      </w:pPr>
      <w:rPr>
        <w:rFonts w:ascii="Wingdings" w:hAnsi="Wingdings" w:hint="default"/>
      </w:rPr>
    </w:lvl>
    <w:lvl w:ilvl="4" w:tplc="D108DAEC" w:tentative="1">
      <w:start w:val="1"/>
      <w:numFmt w:val="bullet"/>
      <w:lvlText w:val=""/>
      <w:lvlJc w:val="left"/>
      <w:pPr>
        <w:tabs>
          <w:tab w:val="num" w:pos="3600"/>
        </w:tabs>
        <w:ind w:left="3600" w:hanging="360"/>
      </w:pPr>
      <w:rPr>
        <w:rFonts w:ascii="Wingdings" w:hAnsi="Wingdings" w:hint="default"/>
      </w:rPr>
    </w:lvl>
    <w:lvl w:ilvl="5" w:tplc="167E6794" w:tentative="1">
      <w:start w:val="1"/>
      <w:numFmt w:val="bullet"/>
      <w:lvlText w:val=""/>
      <w:lvlJc w:val="left"/>
      <w:pPr>
        <w:tabs>
          <w:tab w:val="num" w:pos="4320"/>
        </w:tabs>
        <w:ind w:left="4320" w:hanging="360"/>
      </w:pPr>
      <w:rPr>
        <w:rFonts w:ascii="Wingdings" w:hAnsi="Wingdings" w:hint="default"/>
      </w:rPr>
    </w:lvl>
    <w:lvl w:ilvl="6" w:tplc="366422E6" w:tentative="1">
      <w:start w:val="1"/>
      <w:numFmt w:val="bullet"/>
      <w:lvlText w:val=""/>
      <w:lvlJc w:val="left"/>
      <w:pPr>
        <w:tabs>
          <w:tab w:val="num" w:pos="5040"/>
        </w:tabs>
        <w:ind w:left="5040" w:hanging="360"/>
      </w:pPr>
      <w:rPr>
        <w:rFonts w:ascii="Wingdings" w:hAnsi="Wingdings" w:hint="default"/>
      </w:rPr>
    </w:lvl>
    <w:lvl w:ilvl="7" w:tplc="2B9E91A2" w:tentative="1">
      <w:start w:val="1"/>
      <w:numFmt w:val="bullet"/>
      <w:lvlText w:val=""/>
      <w:lvlJc w:val="left"/>
      <w:pPr>
        <w:tabs>
          <w:tab w:val="num" w:pos="5760"/>
        </w:tabs>
        <w:ind w:left="5760" w:hanging="360"/>
      </w:pPr>
      <w:rPr>
        <w:rFonts w:ascii="Wingdings" w:hAnsi="Wingdings" w:hint="default"/>
      </w:rPr>
    </w:lvl>
    <w:lvl w:ilvl="8" w:tplc="817AB2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E4273"/>
    <w:multiLevelType w:val="hybridMultilevel"/>
    <w:tmpl w:val="039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F04BEC"/>
    <w:multiLevelType w:val="hybridMultilevel"/>
    <w:tmpl w:val="D890CA36"/>
    <w:lvl w:ilvl="0" w:tplc="4DA2B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55796"/>
    <w:multiLevelType w:val="hybridMultilevel"/>
    <w:tmpl w:val="8E1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4C9E"/>
    <w:multiLevelType w:val="multilevel"/>
    <w:tmpl w:val="22F2F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BEF1E2B"/>
    <w:multiLevelType w:val="hybridMultilevel"/>
    <w:tmpl w:val="0C162AB4"/>
    <w:lvl w:ilvl="0" w:tplc="9260FA46">
      <w:start w:val="1"/>
      <w:numFmt w:val="bullet"/>
      <w:lvlText w:val="•"/>
      <w:lvlJc w:val="left"/>
      <w:pPr>
        <w:tabs>
          <w:tab w:val="num" w:pos="720"/>
        </w:tabs>
        <w:ind w:left="720" w:hanging="360"/>
      </w:pPr>
      <w:rPr>
        <w:rFonts w:ascii="Arial" w:hAnsi="Arial" w:hint="default"/>
      </w:rPr>
    </w:lvl>
    <w:lvl w:ilvl="1" w:tplc="F3989048" w:tentative="1">
      <w:start w:val="1"/>
      <w:numFmt w:val="bullet"/>
      <w:lvlText w:val="•"/>
      <w:lvlJc w:val="left"/>
      <w:pPr>
        <w:tabs>
          <w:tab w:val="num" w:pos="1440"/>
        </w:tabs>
        <w:ind w:left="1440" w:hanging="360"/>
      </w:pPr>
      <w:rPr>
        <w:rFonts w:ascii="Arial" w:hAnsi="Arial" w:hint="default"/>
      </w:rPr>
    </w:lvl>
    <w:lvl w:ilvl="2" w:tplc="B6765FE8" w:tentative="1">
      <w:start w:val="1"/>
      <w:numFmt w:val="bullet"/>
      <w:lvlText w:val="•"/>
      <w:lvlJc w:val="left"/>
      <w:pPr>
        <w:tabs>
          <w:tab w:val="num" w:pos="2160"/>
        </w:tabs>
        <w:ind w:left="2160" w:hanging="360"/>
      </w:pPr>
      <w:rPr>
        <w:rFonts w:ascii="Arial" w:hAnsi="Arial" w:hint="default"/>
      </w:rPr>
    </w:lvl>
    <w:lvl w:ilvl="3" w:tplc="E13694F2" w:tentative="1">
      <w:start w:val="1"/>
      <w:numFmt w:val="bullet"/>
      <w:lvlText w:val="•"/>
      <w:lvlJc w:val="left"/>
      <w:pPr>
        <w:tabs>
          <w:tab w:val="num" w:pos="2880"/>
        </w:tabs>
        <w:ind w:left="2880" w:hanging="360"/>
      </w:pPr>
      <w:rPr>
        <w:rFonts w:ascii="Arial" w:hAnsi="Arial" w:hint="default"/>
      </w:rPr>
    </w:lvl>
    <w:lvl w:ilvl="4" w:tplc="766A3E4E" w:tentative="1">
      <w:start w:val="1"/>
      <w:numFmt w:val="bullet"/>
      <w:lvlText w:val="•"/>
      <w:lvlJc w:val="left"/>
      <w:pPr>
        <w:tabs>
          <w:tab w:val="num" w:pos="3600"/>
        </w:tabs>
        <w:ind w:left="3600" w:hanging="360"/>
      </w:pPr>
      <w:rPr>
        <w:rFonts w:ascii="Arial" w:hAnsi="Arial" w:hint="default"/>
      </w:rPr>
    </w:lvl>
    <w:lvl w:ilvl="5" w:tplc="95D81CEE" w:tentative="1">
      <w:start w:val="1"/>
      <w:numFmt w:val="bullet"/>
      <w:lvlText w:val="•"/>
      <w:lvlJc w:val="left"/>
      <w:pPr>
        <w:tabs>
          <w:tab w:val="num" w:pos="4320"/>
        </w:tabs>
        <w:ind w:left="4320" w:hanging="360"/>
      </w:pPr>
      <w:rPr>
        <w:rFonts w:ascii="Arial" w:hAnsi="Arial" w:hint="default"/>
      </w:rPr>
    </w:lvl>
    <w:lvl w:ilvl="6" w:tplc="470E7A62" w:tentative="1">
      <w:start w:val="1"/>
      <w:numFmt w:val="bullet"/>
      <w:lvlText w:val="•"/>
      <w:lvlJc w:val="left"/>
      <w:pPr>
        <w:tabs>
          <w:tab w:val="num" w:pos="5040"/>
        </w:tabs>
        <w:ind w:left="5040" w:hanging="360"/>
      </w:pPr>
      <w:rPr>
        <w:rFonts w:ascii="Arial" w:hAnsi="Arial" w:hint="default"/>
      </w:rPr>
    </w:lvl>
    <w:lvl w:ilvl="7" w:tplc="7E6C9BD8" w:tentative="1">
      <w:start w:val="1"/>
      <w:numFmt w:val="bullet"/>
      <w:lvlText w:val="•"/>
      <w:lvlJc w:val="left"/>
      <w:pPr>
        <w:tabs>
          <w:tab w:val="num" w:pos="5760"/>
        </w:tabs>
        <w:ind w:left="5760" w:hanging="360"/>
      </w:pPr>
      <w:rPr>
        <w:rFonts w:ascii="Arial" w:hAnsi="Arial" w:hint="default"/>
      </w:rPr>
    </w:lvl>
    <w:lvl w:ilvl="8" w:tplc="39AAB1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811503"/>
    <w:multiLevelType w:val="hybridMultilevel"/>
    <w:tmpl w:val="60F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A4F64"/>
    <w:multiLevelType w:val="hybridMultilevel"/>
    <w:tmpl w:val="3B06B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80F1D"/>
    <w:multiLevelType w:val="hybridMultilevel"/>
    <w:tmpl w:val="4BCC3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33A10"/>
    <w:multiLevelType w:val="hybridMultilevel"/>
    <w:tmpl w:val="7A4C41B6"/>
    <w:lvl w:ilvl="0" w:tplc="A1AA6E0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E3D35"/>
    <w:multiLevelType w:val="hybridMultilevel"/>
    <w:tmpl w:val="BB6A72C8"/>
    <w:lvl w:ilvl="0" w:tplc="D248CFBE">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A17CA"/>
    <w:multiLevelType w:val="hybridMultilevel"/>
    <w:tmpl w:val="60F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42BCD"/>
    <w:multiLevelType w:val="hybridMultilevel"/>
    <w:tmpl w:val="67523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3"/>
  </w:num>
  <w:num w:numId="4">
    <w:abstractNumId w:val="1"/>
  </w:num>
  <w:num w:numId="5">
    <w:abstractNumId w:val="12"/>
  </w:num>
  <w:num w:numId="6">
    <w:abstractNumId w:val="3"/>
  </w:num>
  <w:num w:numId="7">
    <w:abstractNumId w:val="19"/>
  </w:num>
  <w:num w:numId="8">
    <w:abstractNumId w:val="11"/>
  </w:num>
  <w:num w:numId="9">
    <w:abstractNumId w:val="18"/>
  </w:num>
  <w:num w:numId="10">
    <w:abstractNumId w:val="23"/>
  </w:num>
  <w:num w:numId="11">
    <w:abstractNumId w:val="28"/>
  </w:num>
  <w:num w:numId="12">
    <w:abstractNumId w:val="2"/>
  </w:num>
  <w:num w:numId="13">
    <w:abstractNumId w:val="16"/>
  </w:num>
  <w:num w:numId="14">
    <w:abstractNumId w:val="7"/>
  </w:num>
  <w:num w:numId="15">
    <w:abstractNumId w:val="15"/>
  </w:num>
  <w:num w:numId="16">
    <w:abstractNumId w:val="14"/>
  </w:num>
  <w:num w:numId="17">
    <w:abstractNumId w:val="8"/>
  </w:num>
  <w:num w:numId="18">
    <w:abstractNumId w:val="6"/>
  </w:num>
  <w:num w:numId="19">
    <w:abstractNumId w:val="24"/>
  </w:num>
  <w:num w:numId="20">
    <w:abstractNumId w:val="25"/>
  </w:num>
  <w:num w:numId="21">
    <w:abstractNumId w:val="5"/>
  </w:num>
  <w:num w:numId="22">
    <w:abstractNumId w:val="21"/>
  </w:num>
  <w:num w:numId="23">
    <w:abstractNumId w:val="17"/>
  </w:num>
  <w:num w:numId="24">
    <w:abstractNumId w:val="20"/>
  </w:num>
  <w:num w:numId="25">
    <w:abstractNumId w:val="4"/>
  </w:num>
  <w:num w:numId="26">
    <w:abstractNumId w:val="26"/>
  </w:num>
  <w:num w:numId="27">
    <w:abstractNumId w:val="0"/>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25"/>
    <w:rsid w:val="0000019A"/>
    <w:rsid w:val="00002909"/>
    <w:rsid w:val="00003C0D"/>
    <w:rsid w:val="00005015"/>
    <w:rsid w:val="000122FC"/>
    <w:rsid w:val="00014176"/>
    <w:rsid w:val="00023350"/>
    <w:rsid w:val="000310A4"/>
    <w:rsid w:val="00033571"/>
    <w:rsid w:val="00033964"/>
    <w:rsid w:val="00037977"/>
    <w:rsid w:val="00042498"/>
    <w:rsid w:val="0004313E"/>
    <w:rsid w:val="00047C58"/>
    <w:rsid w:val="00052850"/>
    <w:rsid w:val="0005391A"/>
    <w:rsid w:val="000540E2"/>
    <w:rsid w:val="00056EB5"/>
    <w:rsid w:val="00057603"/>
    <w:rsid w:val="00067D96"/>
    <w:rsid w:val="00080E6B"/>
    <w:rsid w:val="00085AEE"/>
    <w:rsid w:val="00086262"/>
    <w:rsid w:val="00091891"/>
    <w:rsid w:val="000956D6"/>
    <w:rsid w:val="000A00B1"/>
    <w:rsid w:val="000A0FDE"/>
    <w:rsid w:val="000A2A86"/>
    <w:rsid w:val="000A619F"/>
    <w:rsid w:val="000B1952"/>
    <w:rsid w:val="000B5C32"/>
    <w:rsid w:val="000C03AB"/>
    <w:rsid w:val="000C2CBD"/>
    <w:rsid w:val="000C58F4"/>
    <w:rsid w:val="000D144C"/>
    <w:rsid w:val="000D1CDF"/>
    <w:rsid w:val="000D1FE5"/>
    <w:rsid w:val="000D5517"/>
    <w:rsid w:val="000D565C"/>
    <w:rsid w:val="000E160C"/>
    <w:rsid w:val="000E1B86"/>
    <w:rsid w:val="000E2216"/>
    <w:rsid w:val="000E35B2"/>
    <w:rsid w:val="000E58CA"/>
    <w:rsid w:val="000E6746"/>
    <w:rsid w:val="000F15CE"/>
    <w:rsid w:val="000F4B7C"/>
    <w:rsid w:val="000F77E4"/>
    <w:rsid w:val="00111214"/>
    <w:rsid w:val="001214BB"/>
    <w:rsid w:val="00121B8C"/>
    <w:rsid w:val="00122855"/>
    <w:rsid w:val="00122B91"/>
    <w:rsid w:val="00122C57"/>
    <w:rsid w:val="00123984"/>
    <w:rsid w:val="00124807"/>
    <w:rsid w:val="00125215"/>
    <w:rsid w:val="001258B0"/>
    <w:rsid w:val="001402AD"/>
    <w:rsid w:val="00141524"/>
    <w:rsid w:val="001439DC"/>
    <w:rsid w:val="0014455C"/>
    <w:rsid w:val="001503F5"/>
    <w:rsid w:val="0015482D"/>
    <w:rsid w:val="00162DCC"/>
    <w:rsid w:val="001675DB"/>
    <w:rsid w:val="001701AE"/>
    <w:rsid w:val="0017060A"/>
    <w:rsid w:val="00173585"/>
    <w:rsid w:val="00174BF0"/>
    <w:rsid w:val="00177F06"/>
    <w:rsid w:val="00191EE1"/>
    <w:rsid w:val="00197368"/>
    <w:rsid w:val="001A241F"/>
    <w:rsid w:val="001A5391"/>
    <w:rsid w:val="001A583A"/>
    <w:rsid w:val="001A659B"/>
    <w:rsid w:val="001A72D4"/>
    <w:rsid w:val="001A76FD"/>
    <w:rsid w:val="001B239C"/>
    <w:rsid w:val="001C070F"/>
    <w:rsid w:val="001C1359"/>
    <w:rsid w:val="001C31DE"/>
    <w:rsid w:val="001C3762"/>
    <w:rsid w:val="001C6AD7"/>
    <w:rsid w:val="001C7F81"/>
    <w:rsid w:val="001D0185"/>
    <w:rsid w:val="001D113A"/>
    <w:rsid w:val="001D2E10"/>
    <w:rsid w:val="001D4031"/>
    <w:rsid w:val="001D55DF"/>
    <w:rsid w:val="001D713F"/>
    <w:rsid w:val="001D78D3"/>
    <w:rsid w:val="001E1D92"/>
    <w:rsid w:val="001F15B0"/>
    <w:rsid w:val="001F174C"/>
    <w:rsid w:val="001F445B"/>
    <w:rsid w:val="001F5855"/>
    <w:rsid w:val="00200394"/>
    <w:rsid w:val="00201D3A"/>
    <w:rsid w:val="0020344D"/>
    <w:rsid w:val="002057E3"/>
    <w:rsid w:val="002076F4"/>
    <w:rsid w:val="00210164"/>
    <w:rsid w:val="00211AB0"/>
    <w:rsid w:val="002121B6"/>
    <w:rsid w:val="00212371"/>
    <w:rsid w:val="00216062"/>
    <w:rsid w:val="002266A7"/>
    <w:rsid w:val="0023185A"/>
    <w:rsid w:val="00232162"/>
    <w:rsid w:val="00232566"/>
    <w:rsid w:val="002326D3"/>
    <w:rsid w:val="0023302F"/>
    <w:rsid w:val="0023366D"/>
    <w:rsid w:val="002347E5"/>
    <w:rsid w:val="002353EA"/>
    <w:rsid w:val="00235ED3"/>
    <w:rsid w:val="0025052E"/>
    <w:rsid w:val="002523B7"/>
    <w:rsid w:val="00254638"/>
    <w:rsid w:val="00254C2B"/>
    <w:rsid w:val="002609DB"/>
    <w:rsid w:val="00265734"/>
    <w:rsid w:val="002670CF"/>
    <w:rsid w:val="00271BD1"/>
    <w:rsid w:val="00272830"/>
    <w:rsid w:val="00272CCF"/>
    <w:rsid w:val="00274F8A"/>
    <w:rsid w:val="002761D6"/>
    <w:rsid w:val="002770C1"/>
    <w:rsid w:val="00280377"/>
    <w:rsid w:val="00291B6B"/>
    <w:rsid w:val="002923A0"/>
    <w:rsid w:val="00293E58"/>
    <w:rsid w:val="00294B44"/>
    <w:rsid w:val="00296A83"/>
    <w:rsid w:val="00296D90"/>
    <w:rsid w:val="002A2931"/>
    <w:rsid w:val="002A29BE"/>
    <w:rsid w:val="002A33D6"/>
    <w:rsid w:val="002A4A68"/>
    <w:rsid w:val="002A7A84"/>
    <w:rsid w:val="002B212B"/>
    <w:rsid w:val="002B5424"/>
    <w:rsid w:val="002D0A68"/>
    <w:rsid w:val="002D11DC"/>
    <w:rsid w:val="002D3C2A"/>
    <w:rsid w:val="002E0F08"/>
    <w:rsid w:val="002E439B"/>
    <w:rsid w:val="002F1D17"/>
    <w:rsid w:val="002F356A"/>
    <w:rsid w:val="002F6E6F"/>
    <w:rsid w:val="00305AF1"/>
    <w:rsid w:val="00307EC6"/>
    <w:rsid w:val="00315194"/>
    <w:rsid w:val="003174BD"/>
    <w:rsid w:val="0032076E"/>
    <w:rsid w:val="003221A7"/>
    <w:rsid w:val="00323ED8"/>
    <w:rsid w:val="003335FD"/>
    <w:rsid w:val="00333CCB"/>
    <w:rsid w:val="0033608F"/>
    <w:rsid w:val="00341441"/>
    <w:rsid w:val="003422E2"/>
    <w:rsid w:val="00342A85"/>
    <w:rsid w:val="0034368A"/>
    <w:rsid w:val="00344754"/>
    <w:rsid w:val="003467E7"/>
    <w:rsid w:val="00354F2A"/>
    <w:rsid w:val="003555FA"/>
    <w:rsid w:val="00357EFB"/>
    <w:rsid w:val="003611BB"/>
    <w:rsid w:val="00362B0C"/>
    <w:rsid w:val="00373215"/>
    <w:rsid w:val="00374A1B"/>
    <w:rsid w:val="0037624C"/>
    <w:rsid w:val="00377FF2"/>
    <w:rsid w:val="003812D4"/>
    <w:rsid w:val="00381409"/>
    <w:rsid w:val="003822FF"/>
    <w:rsid w:val="00383B8B"/>
    <w:rsid w:val="003976FE"/>
    <w:rsid w:val="003A0C82"/>
    <w:rsid w:val="003A1445"/>
    <w:rsid w:val="003A162A"/>
    <w:rsid w:val="003A1861"/>
    <w:rsid w:val="003A5CFE"/>
    <w:rsid w:val="003C0EEB"/>
    <w:rsid w:val="003D2991"/>
    <w:rsid w:val="003D3D13"/>
    <w:rsid w:val="003D52F8"/>
    <w:rsid w:val="003D55C5"/>
    <w:rsid w:val="003F7218"/>
    <w:rsid w:val="004002F8"/>
    <w:rsid w:val="00400D1D"/>
    <w:rsid w:val="00401882"/>
    <w:rsid w:val="00402548"/>
    <w:rsid w:val="00403866"/>
    <w:rsid w:val="00410B57"/>
    <w:rsid w:val="004147F6"/>
    <w:rsid w:val="0042155A"/>
    <w:rsid w:val="004241AD"/>
    <w:rsid w:val="00424BF1"/>
    <w:rsid w:val="00425090"/>
    <w:rsid w:val="00425F5D"/>
    <w:rsid w:val="00430DD6"/>
    <w:rsid w:val="00431A9D"/>
    <w:rsid w:val="00431FC6"/>
    <w:rsid w:val="00436A82"/>
    <w:rsid w:val="00436AAA"/>
    <w:rsid w:val="0044412D"/>
    <w:rsid w:val="00454762"/>
    <w:rsid w:val="00454D86"/>
    <w:rsid w:val="00465769"/>
    <w:rsid w:val="00466CFE"/>
    <w:rsid w:val="004742D6"/>
    <w:rsid w:val="00477C60"/>
    <w:rsid w:val="00480985"/>
    <w:rsid w:val="00483652"/>
    <w:rsid w:val="0049101F"/>
    <w:rsid w:val="004916A5"/>
    <w:rsid w:val="004922B2"/>
    <w:rsid w:val="004961B8"/>
    <w:rsid w:val="004968D9"/>
    <w:rsid w:val="004A7438"/>
    <w:rsid w:val="004B2A9E"/>
    <w:rsid w:val="004B6A72"/>
    <w:rsid w:val="004C0BC2"/>
    <w:rsid w:val="004C2502"/>
    <w:rsid w:val="004D18BD"/>
    <w:rsid w:val="004D5E00"/>
    <w:rsid w:val="004D69C8"/>
    <w:rsid w:val="004D6FA0"/>
    <w:rsid w:val="004D7238"/>
    <w:rsid w:val="004E1342"/>
    <w:rsid w:val="004E47DC"/>
    <w:rsid w:val="004F1F28"/>
    <w:rsid w:val="004F4115"/>
    <w:rsid w:val="004F5608"/>
    <w:rsid w:val="004F6839"/>
    <w:rsid w:val="004F6A58"/>
    <w:rsid w:val="004F7D34"/>
    <w:rsid w:val="00507094"/>
    <w:rsid w:val="005229A4"/>
    <w:rsid w:val="005229D1"/>
    <w:rsid w:val="00523C6E"/>
    <w:rsid w:val="005326C6"/>
    <w:rsid w:val="00533D32"/>
    <w:rsid w:val="00534CB8"/>
    <w:rsid w:val="005366BC"/>
    <w:rsid w:val="005367C2"/>
    <w:rsid w:val="0054071D"/>
    <w:rsid w:val="0054723C"/>
    <w:rsid w:val="0055131F"/>
    <w:rsid w:val="00554516"/>
    <w:rsid w:val="00557A98"/>
    <w:rsid w:val="00563B71"/>
    <w:rsid w:val="0056628C"/>
    <w:rsid w:val="00575DA5"/>
    <w:rsid w:val="00595775"/>
    <w:rsid w:val="00595F52"/>
    <w:rsid w:val="005A0C4A"/>
    <w:rsid w:val="005A1F12"/>
    <w:rsid w:val="005A4CDC"/>
    <w:rsid w:val="005A4FB1"/>
    <w:rsid w:val="005A6607"/>
    <w:rsid w:val="005A7E6A"/>
    <w:rsid w:val="005B1417"/>
    <w:rsid w:val="005B2A7C"/>
    <w:rsid w:val="005C061D"/>
    <w:rsid w:val="005C572B"/>
    <w:rsid w:val="005E1859"/>
    <w:rsid w:val="005E5531"/>
    <w:rsid w:val="005F300F"/>
    <w:rsid w:val="005F55C2"/>
    <w:rsid w:val="005F6CA3"/>
    <w:rsid w:val="00602757"/>
    <w:rsid w:val="00605347"/>
    <w:rsid w:val="00613762"/>
    <w:rsid w:val="00614264"/>
    <w:rsid w:val="00615962"/>
    <w:rsid w:val="006202CE"/>
    <w:rsid w:val="00620D03"/>
    <w:rsid w:val="00627ED5"/>
    <w:rsid w:val="00630C24"/>
    <w:rsid w:val="006312B8"/>
    <w:rsid w:val="006439E4"/>
    <w:rsid w:val="00646BC4"/>
    <w:rsid w:val="00654321"/>
    <w:rsid w:val="00654AA5"/>
    <w:rsid w:val="00661FBE"/>
    <w:rsid w:val="0066346A"/>
    <w:rsid w:val="00663805"/>
    <w:rsid w:val="00666880"/>
    <w:rsid w:val="006672BA"/>
    <w:rsid w:val="006700CF"/>
    <w:rsid w:val="006706CA"/>
    <w:rsid w:val="00680611"/>
    <w:rsid w:val="00681AAC"/>
    <w:rsid w:val="006846D8"/>
    <w:rsid w:val="00693208"/>
    <w:rsid w:val="00697A26"/>
    <w:rsid w:val="006A136E"/>
    <w:rsid w:val="006A14F1"/>
    <w:rsid w:val="006B0EF0"/>
    <w:rsid w:val="006B2A6C"/>
    <w:rsid w:val="006B3885"/>
    <w:rsid w:val="006B5A0E"/>
    <w:rsid w:val="006C035D"/>
    <w:rsid w:val="006C5E79"/>
    <w:rsid w:val="006D2EF1"/>
    <w:rsid w:val="006D3039"/>
    <w:rsid w:val="006D3E35"/>
    <w:rsid w:val="006D4773"/>
    <w:rsid w:val="006E0514"/>
    <w:rsid w:val="00704ABF"/>
    <w:rsid w:val="00713D0C"/>
    <w:rsid w:val="0071716A"/>
    <w:rsid w:val="00722812"/>
    <w:rsid w:val="00725A6D"/>
    <w:rsid w:val="00727A4B"/>
    <w:rsid w:val="0073104D"/>
    <w:rsid w:val="00733D10"/>
    <w:rsid w:val="0073602B"/>
    <w:rsid w:val="007366FB"/>
    <w:rsid w:val="00736A76"/>
    <w:rsid w:val="00737619"/>
    <w:rsid w:val="007412E3"/>
    <w:rsid w:val="00741674"/>
    <w:rsid w:val="00750091"/>
    <w:rsid w:val="00750779"/>
    <w:rsid w:val="00752446"/>
    <w:rsid w:val="0075312F"/>
    <w:rsid w:val="0075477B"/>
    <w:rsid w:val="007550D8"/>
    <w:rsid w:val="0076053B"/>
    <w:rsid w:val="00761599"/>
    <w:rsid w:val="00763527"/>
    <w:rsid w:val="00772455"/>
    <w:rsid w:val="007730D3"/>
    <w:rsid w:val="00773512"/>
    <w:rsid w:val="00775E24"/>
    <w:rsid w:val="00777BC2"/>
    <w:rsid w:val="00777FB8"/>
    <w:rsid w:val="007833DA"/>
    <w:rsid w:val="00790308"/>
    <w:rsid w:val="007923BB"/>
    <w:rsid w:val="00794061"/>
    <w:rsid w:val="007A0C45"/>
    <w:rsid w:val="007A4535"/>
    <w:rsid w:val="007B056D"/>
    <w:rsid w:val="007B0703"/>
    <w:rsid w:val="007B4A8C"/>
    <w:rsid w:val="007B59CE"/>
    <w:rsid w:val="007B5FE1"/>
    <w:rsid w:val="007B6E80"/>
    <w:rsid w:val="007B6F53"/>
    <w:rsid w:val="007C0639"/>
    <w:rsid w:val="007C079E"/>
    <w:rsid w:val="007C0D99"/>
    <w:rsid w:val="007C109D"/>
    <w:rsid w:val="007C4B51"/>
    <w:rsid w:val="007C6FD6"/>
    <w:rsid w:val="007D0D6A"/>
    <w:rsid w:val="007D0D88"/>
    <w:rsid w:val="007D2446"/>
    <w:rsid w:val="007D3516"/>
    <w:rsid w:val="007D5B6A"/>
    <w:rsid w:val="007E01F0"/>
    <w:rsid w:val="007E3312"/>
    <w:rsid w:val="007E43EC"/>
    <w:rsid w:val="007E48F8"/>
    <w:rsid w:val="007E4AC5"/>
    <w:rsid w:val="007E6206"/>
    <w:rsid w:val="007E6233"/>
    <w:rsid w:val="007E64C2"/>
    <w:rsid w:val="007E7ACD"/>
    <w:rsid w:val="007F532E"/>
    <w:rsid w:val="007F6B13"/>
    <w:rsid w:val="00800572"/>
    <w:rsid w:val="0080685D"/>
    <w:rsid w:val="00807D13"/>
    <w:rsid w:val="008118AD"/>
    <w:rsid w:val="00811C8A"/>
    <w:rsid w:val="00811CB7"/>
    <w:rsid w:val="00812003"/>
    <w:rsid w:val="00812FFE"/>
    <w:rsid w:val="0081359A"/>
    <w:rsid w:val="00826415"/>
    <w:rsid w:val="008274F2"/>
    <w:rsid w:val="0083089B"/>
    <w:rsid w:val="0083293A"/>
    <w:rsid w:val="0083446E"/>
    <w:rsid w:val="008373A0"/>
    <w:rsid w:val="008418AE"/>
    <w:rsid w:val="008442B9"/>
    <w:rsid w:val="008464F4"/>
    <w:rsid w:val="008617B9"/>
    <w:rsid w:val="00864153"/>
    <w:rsid w:val="00870D88"/>
    <w:rsid w:val="0087630E"/>
    <w:rsid w:val="00882440"/>
    <w:rsid w:val="00882613"/>
    <w:rsid w:val="00882A14"/>
    <w:rsid w:val="00884590"/>
    <w:rsid w:val="00884964"/>
    <w:rsid w:val="008851B5"/>
    <w:rsid w:val="00887875"/>
    <w:rsid w:val="00887EEA"/>
    <w:rsid w:val="00897B32"/>
    <w:rsid w:val="008A09A8"/>
    <w:rsid w:val="008A434A"/>
    <w:rsid w:val="008A6F53"/>
    <w:rsid w:val="008A76E8"/>
    <w:rsid w:val="008B5212"/>
    <w:rsid w:val="008B5CA4"/>
    <w:rsid w:val="008B5D61"/>
    <w:rsid w:val="008B7C0A"/>
    <w:rsid w:val="008C026D"/>
    <w:rsid w:val="008C2A28"/>
    <w:rsid w:val="008C637A"/>
    <w:rsid w:val="008C6A3A"/>
    <w:rsid w:val="008D1ED4"/>
    <w:rsid w:val="008D4E56"/>
    <w:rsid w:val="008F1E8F"/>
    <w:rsid w:val="008F2BEA"/>
    <w:rsid w:val="009025F6"/>
    <w:rsid w:val="00903154"/>
    <w:rsid w:val="00903A5F"/>
    <w:rsid w:val="00911487"/>
    <w:rsid w:val="00911489"/>
    <w:rsid w:val="00917C36"/>
    <w:rsid w:val="00920205"/>
    <w:rsid w:val="0092521C"/>
    <w:rsid w:val="009325D7"/>
    <w:rsid w:val="00935CDF"/>
    <w:rsid w:val="00937FEC"/>
    <w:rsid w:val="0094182E"/>
    <w:rsid w:val="00941D82"/>
    <w:rsid w:val="009455C5"/>
    <w:rsid w:val="0094735F"/>
    <w:rsid w:val="00961159"/>
    <w:rsid w:val="00962756"/>
    <w:rsid w:val="0096589D"/>
    <w:rsid w:val="009764AD"/>
    <w:rsid w:val="00976AC7"/>
    <w:rsid w:val="00976E8D"/>
    <w:rsid w:val="0097746B"/>
    <w:rsid w:val="009818F7"/>
    <w:rsid w:val="0099048F"/>
    <w:rsid w:val="009A10F3"/>
    <w:rsid w:val="009A1C02"/>
    <w:rsid w:val="009A55C4"/>
    <w:rsid w:val="009B06A9"/>
    <w:rsid w:val="009B0E8D"/>
    <w:rsid w:val="009B2AE3"/>
    <w:rsid w:val="009C49FE"/>
    <w:rsid w:val="009C4D5E"/>
    <w:rsid w:val="009C53CC"/>
    <w:rsid w:val="009E0DEC"/>
    <w:rsid w:val="009E1BDA"/>
    <w:rsid w:val="009E2B5C"/>
    <w:rsid w:val="009E30D1"/>
    <w:rsid w:val="009E731B"/>
    <w:rsid w:val="009F50A1"/>
    <w:rsid w:val="009F60C1"/>
    <w:rsid w:val="00A026D1"/>
    <w:rsid w:val="00A03089"/>
    <w:rsid w:val="00A10781"/>
    <w:rsid w:val="00A10789"/>
    <w:rsid w:val="00A12B65"/>
    <w:rsid w:val="00A131E9"/>
    <w:rsid w:val="00A22CE4"/>
    <w:rsid w:val="00A24C9E"/>
    <w:rsid w:val="00A26D3C"/>
    <w:rsid w:val="00A27659"/>
    <w:rsid w:val="00A27E91"/>
    <w:rsid w:val="00A32A5A"/>
    <w:rsid w:val="00A35278"/>
    <w:rsid w:val="00A35F06"/>
    <w:rsid w:val="00A37DE8"/>
    <w:rsid w:val="00A428DA"/>
    <w:rsid w:val="00A42ACF"/>
    <w:rsid w:val="00A42B44"/>
    <w:rsid w:val="00A43CEA"/>
    <w:rsid w:val="00A45177"/>
    <w:rsid w:val="00A54BF2"/>
    <w:rsid w:val="00A61B5B"/>
    <w:rsid w:val="00A627C1"/>
    <w:rsid w:val="00A628BC"/>
    <w:rsid w:val="00A62E62"/>
    <w:rsid w:val="00A671B1"/>
    <w:rsid w:val="00A731BD"/>
    <w:rsid w:val="00A76DC4"/>
    <w:rsid w:val="00A81EA6"/>
    <w:rsid w:val="00A84007"/>
    <w:rsid w:val="00A95452"/>
    <w:rsid w:val="00A9591A"/>
    <w:rsid w:val="00A971A2"/>
    <w:rsid w:val="00A9743A"/>
    <w:rsid w:val="00A97E5C"/>
    <w:rsid w:val="00AB0D05"/>
    <w:rsid w:val="00AB3CDE"/>
    <w:rsid w:val="00AB3D76"/>
    <w:rsid w:val="00AB4301"/>
    <w:rsid w:val="00AC18FD"/>
    <w:rsid w:val="00AC22F1"/>
    <w:rsid w:val="00AC2E77"/>
    <w:rsid w:val="00AC49A0"/>
    <w:rsid w:val="00AD1F52"/>
    <w:rsid w:val="00AD2FE7"/>
    <w:rsid w:val="00AD7240"/>
    <w:rsid w:val="00AD7FB2"/>
    <w:rsid w:val="00AE7CCF"/>
    <w:rsid w:val="00AF0B1B"/>
    <w:rsid w:val="00AF0F04"/>
    <w:rsid w:val="00B00C52"/>
    <w:rsid w:val="00B020A9"/>
    <w:rsid w:val="00B023EC"/>
    <w:rsid w:val="00B12DD6"/>
    <w:rsid w:val="00B17D22"/>
    <w:rsid w:val="00B23555"/>
    <w:rsid w:val="00B27B64"/>
    <w:rsid w:val="00B36234"/>
    <w:rsid w:val="00B403D1"/>
    <w:rsid w:val="00B43043"/>
    <w:rsid w:val="00B4468E"/>
    <w:rsid w:val="00B44A30"/>
    <w:rsid w:val="00B44AD0"/>
    <w:rsid w:val="00B53868"/>
    <w:rsid w:val="00B55354"/>
    <w:rsid w:val="00B56537"/>
    <w:rsid w:val="00B62A30"/>
    <w:rsid w:val="00B70953"/>
    <w:rsid w:val="00B72FE5"/>
    <w:rsid w:val="00B75F0A"/>
    <w:rsid w:val="00B75FC0"/>
    <w:rsid w:val="00B83169"/>
    <w:rsid w:val="00B90CDE"/>
    <w:rsid w:val="00B92EB3"/>
    <w:rsid w:val="00B934E5"/>
    <w:rsid w:val="00B9699D"/>
    <w:rsid w:val="00BA088F"/>
    <w:rsid w:val="00BA27DA"/>
    <w:rsid w:val="00BA4104"/>
    <w:rsid w:val="00BA67DA"/>
    <w:rsid w:val="00BB0ABA"/>
    <w:rsid w:val="00BB2287"/>
    <w:rsid w:val="00BB3C4A"/>
    <w:rsid w:val="00BD33E9"/>
    <w:rsid w:val="00BD4A31"/>
    <w:rsid w:val="00BD5B52"/>
    <w:rsid w:val="00BD5E26"/>
    <w:rsid w:val="00BF38D8"/>
    <w:rsid w:val="00BF6228"/>
    <w:rsid w:val="00BF6D47"/>
    <w:rsid w:val="00BF79A9"/>
    <w:rsid w:val="00C009E1"/>
    <w:rsid w:val="00C039F8"/>
    <w:rsid w:val="00C1699B"/>
    <w:rsid w:val="00C24EB2"/>
    <w:rsid w:val="00C322F6"/>
    <w:rsid w:val="00C3243F"/>
    <w:rsid w:val="00C32EC6"/>
    <w:rsid w:val="00C3487B"/>
    <w:rsid w:val="00C3605C"/>
    <w:rsid w:val="00C3742E"/>
    <w:rsid w:val="00C46795"/>
    <w:rsid w:val="00C52D2D"/>
    <w:rsid w:val="00C537F1"/>
    <w:rsid w:val="00C55DCD"/>
    <w:rsid w:val="00C574D6"/>
    <w:rsid w:val="00C574F4"/>
    <w:rsid w:val="00C57EC5"/>
    <w:rsid w:val="00C62521"/>
    <w:rsid w:val="00C6330D"/>
    <w:rsid w:val="00C66B85"/>
    <w:rsid w:val="00C67B82"/>
    <w:rsid w:val="00C70268"/>
    <w:rsid w:val="00C71398"/>
    <w:rsid w:val="00C73185"/>
    <w:rsid w:val="00C7321B"/>
    <w:rsid w:val="00C8152C"/>
    <w:rsid w:val="00C92BC9"/>
    <w:rsid w:val="00CA0DCC"/>
    <w:rsid w:val="00CA6F87"/>
    <w:rsid w:val="00CC3C44"/>
    <w:rsid w:val="00CC744E"/>
    <w:rsid w:val="00CD14CF"/>
    <w:rsid w:val="00CD33C2"/>
    <w:rsid w:val="00CE206F"/>
    <w:rsid w:val="00CE24B2"/>
    <w:rsid w:val="00CE2C09"/>
    <w:rsid w:val="00CE57E1"/>
    <w:rsid w:val="00CE6B8E"/>
    <w:rsid w:val="00CF6B5D"/>
    <w:rsid w:val="00D018AB"/>
    <w:rsid w:val="00D04454"/>
    <w:rsid w:val="00D04D53"/>
    <w:rsid w:val="00D06D7F"/>
    <w:rsid w:val="00D12F77"/>
    <w:rsid w:val="00D14658"/>
    <w:rsid w:val="00D16E5E"/>
    <w:rsid w:val="00D2137D"/>
    <w:rsid w:val="00D24707"/>
    <w:rsid w:val="00D30EC5"/>
    <w:rsid w:val="00D311CA"/>
    <w:rsid w:val="00D3313B"/>
    <w:rsid w:val="00D34928"/>
    <w:rsid w:val="00D3608D"/>
    <w:rsid w:val="00D40843"/>
    <w:rsid w:val="00D42DA2"/>
    <w:rsid w:val="00D46FCF"/>
    <w:rsid w:val="00D5084F"/>
    <w:rsid w:val="00D612A6"/>
    <w:rsid w:val="00D66C27"/>
    <w:rsid w:val="00D6745A"/>
    <w:rsid w:val="00D6788D"/>
    <w:rsid w:val="00D75A64"/>
    <w:rsid w:val="00D81BE7"/>
    <w:rsid w:val="00D82E0C"/>
    <w:rsid w:val="00D92F9D"/>
    <w:rsid w:val="00D93D8D"/>
    <w:rsid w:val="00D96A0E"/>
    <w:rsid w:val="00D96A8F"/>
    <w:rsid w:val="00D9701F"/>
    <w:rsid w:val="00D97E50"/>
    <w:rsid w:val="00DA680C"/>
    <w:rsid w:val="00DB053B"/>
    <w:rsid w:val="00DB6F16"/>
    <w:rsid w:val="00DB7709"/>
    <w:rsid w:val="00DC2243"/>
    <w:rsid w:val="00DC4774"/>
    <w:rsid w:val="00DD23D8"/>
    <w:rsid w:val="00DD34B8"/>
    <w:rsid w:val="00DD4242"/>
    <w:rsid w:val="00E009B6"/>
    <w:rsid w:val="00E01A86"/>
    <w:rsid w:val="00E02364"/>
    <w:rsid w:val="00E034D0"/>
    <w:rsid w:val="00E06A0D"/>
    <w:rsid w:val="00E1476A"/>
    <w:rsid w:val="00E14E95"/>
    <w:rsid w:val="00E158C9"/>
    <w:rsid w:val="00E162D0"/>
    <w:rsid w:val="00E24B47"/>
    <w:rsid w:val="00E27B3F"/>
    <w:rsid w:val="00E30277"/>
    <w:rsid w:val="00E419D7"/>
    <w:rsid w:val="00E42A80"/>
    <w:rsid w:val="00E47AA5"/>
    <w:rsid w:val="00E5364D"/>
    <w:rsid w:val="00E57451"/>
    <w:rsid w:val="00E66B82"/>
    <w:rsid w:val="00E71115"/>
    <w:rsid w:val="00E76F6D"/>
    <w:rsid w:val="00E77A1B"/>
    <w:rsid w:val="00E77AB0"/>
    <w:rsid w:val="00E8013B"/>
    <w:rsid w:val="00E82BF3"/>
    <w:rsid w:val="00E8391E"/>
    <w:rsid w:val="00E83D34"/>
    <w:rsid w:val="00E93586"/>
    <w:rsid w:val="00EA05CA"/>
    <w:rsid w:val="00EA08AC"/>
    <w:rsid w:val="00EA0B27"/>
    <w:rsid w:val="00EA0C4B"/>
    <w:rsid w:val="00EA324F"/>
    <w:rsid w:val="00EA522A"/>
    <w:rsid w:val="00EB40E5"/>
    <w:rsid w:val="00EB762F"/>
    <w:rsid w:val="00EC094D"/>
    <w:rsid w:val="00EC2C25"/>
    <w:rsid w:val="00ED239A"/>
    <w:rsid w:val="00EE1E2D"/>
    <w:rsid w:val="00EE659C"/>
    <w:rsid w:val="00EE67DA"/>
    <w:rsid w:val="00EF1F3A"/>
    <w:rsid w:val="00EF21C3"/>
    <w:rsid w:val="00EF3064"/>
    <w:rsid w:val="00EF5ED8"/>
    <w:rsid w:val="00EF6CAF"/>
    <w:rsid w:val="00F0050A"/>
    <w:rsid w:val="00F031EE"/>
    <w:rsid w:val="00F052D5"/>
    <w:rsid w:val="00F07D88"/>
    <w:rsid w:val="00F11920"/>
    <w:rsid w:val="00F11BC9"/>
    <w:rsid w:val="00F20F76"/>
    <w:rsid w:val="00F22A71"/>
    <w:rsid w:val="00F274FE"/>
    <w:rsid w:val="00F27C29"/>
    <w:rsid w:val="00F305B8"/>
    <w:rsid w:val="00F40B9C"/>
    <w:rsid w:val="00F42953"/>
    <w:rsid w:val="00F44490"/>
    <w:rsid w:val="00F44A8A"/>
    <w:rsid w:val="00F44BC0"/>
    <w:rsid w:val="00F45C96"/>
    <w:rsid w:val="00F471CB"/>
    <w:rsid w:val="00F47755"/>
    <w:rsid w:val="00F51DCF"/>
    <w:rsid w:val="00F54FB0"/>
    <w:rsid w:val="00F628B3"/>
    <w:rsid w:val="00F633AE"/>
    <w:rsid w:val="00F722C0"/>
    <w:rsid w:val="00F851C8"/>
    <w:rsid w:val="00F853A9"/>
    <w:rsid w:val="00F858BC"/>
    <w:rsid w:val="00F906EB"/>
    <w:rsid w:val="00F915C9"/>
    <w:rsid w:val="00F9570F"/>
    <w:rsid w:val="00FA0335"/>
    <w:rsid w:val="00FA3C04"/>
    <w:rsid w:val="00FA4AED"/>
    <w:rsid w:val="00FB67D1"/>
    <w:rsid w:val="00FC3955"/>
    <w:rsid w:val="00FC3F12"/>
    <w:rsid w:val="00FD2541"/>
    <w:rsid w:val="00FD3B26"/>
    <w:rsid w:val="00FD5A0B"/>
    <w:rsid w:val="00FF1429"/>
    <w:rsid w:val="00FF5EBD"/>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24124"/>
  <w15:chartTrackingRefBased/>
  <w15:docId w15:val="{BBE27B61-2E17-47DF-AC65-9B3F1346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C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2C25"/>
    <w:pPr>
      <w:ind w:left="720"/>
      <w:contextualSpacing/>
    </w:pPr>
  </w:style>
  <w:style w:type="paragraph" w:styleId="NormalWeb">
    <w:name w:val="Normal (Web)"/>
    <w:basedOn w:val="Normal"/>
    <w:uiPriority w:val="99"/>
    <w:unhideWhenUsed/>
    <w:rsid w:val="006846D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B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05"/>
  </w:style>
  <w:style w:type="paragraph" w:styleId="Footer">
    <w:name w:val="footer"/>
    <w:basedOn w:val="Normal"/>
    <w:link w:val="FooterChar"/>
    <w:uiPriority w:val="99"/>
    <w:unhideWhenUsed/>
    <w:qFormat/>
    <w:rsid w:val="00AB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05"/>
  </w:style>
  <w:style w:type="paragraph" w:styleId="NoSpacing">
    <w:name w:val="No Spacing"/>
    <w:uiPriority w:val="1"/>
    <w:qFormat/>
    <w:rsid w:val="00AB0D05"/>
    <w:pPr>
      <w:spacing w:after="0" w:line="240" w:lineRule="auto"/>
    </w:pPr>
    <w:rPr>
      <w:color w:val="44546A" w:themeColor="text2"/>
      <w:sz w:val="20"/>
      <w:szCs w:val="20"/>
    </w:rPr>
  </w:style>
  <w:style w:type="character" w:styleId="Hyperlink">
    <w:name w:val="Hyperlink"/>
    <w:basedOn w:val="DefaultParagraphFont"/>
    <w:uiPriority w:val="99"/>
    <w:unhideWhenUsed/>
    <w:rsid w:val="00680611"/>
    <w:rPr>
      <w:color w:val="0563C1" w:themeColor="hyperlink"/>
      <w:u w:val="single"/>
    </w:rPr>
  </w:style>
  <w:style w:type="paragraph" w:styleId="BalloonText">
    <w:name w:val="Balloon Text"/>
    <w:basedOn w:val="Normal"/>
    <w:link w:val="BalloonTextChar"/>
    <w:uiPriority w:val="99"/>
    <w:semiHidden/>
    <w:unhideWhenUsed/>
    <w:rsid w:val="00E4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89EE-E560-4059-B5B9-77AC1715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5168</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page 1</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Report 2015-16</dc:creator>
  <cp:keywords/>
  <dc:description/>
  <cp:lastModifiedBy>David Walters</cp:lastModifiedBy>
  <cp:revision>7</cp:revision>
  <cp:lastPrinted>2020-12-28T19:31:00Z</cp:lastPrinted>
  <dcterms:created xsi:type="dcterms:W3CDTF">2020-12-31T13:41:00Z</dcterms:created>
  <dcterms:modified xsi:type="dcterms:W3CDTF">2020-12-31T14:35:00Z</dcterms:modified>
</cp:coreProperties>
</file>