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FBF2A0" w14:textId="77777777" w:rsidR="00915A82" w:rsidRPr="00344F14" w:rsidRDefault="00FC3434" w:rsidP="00915A82">
      <w:pPr>
        <w:pStyle w:val="NoSpacing"/>
        <w:jc w:val="center"/>
        <w:rPr>
          <w:rFonts w:ascii="Times New Roman" w:hAnsi="Times New Roman"/>
          <w:b/>
          <w:sz w:val="24"/>
          <w:szCs w:val="24"/>
        </w:rPr>
      </w:pPr>
      <w:r>
        <w:rPr>
          <w:rFonts w:ascii="Times New Roman" w:hAnsi="Times New Roman"/>
          <w:b/>
          <w:sz w:val="24"/>
          <w:szCs w:val="24"/>
        </w:rPr>
        <w:t xml:space="preserve">Hawaii Narrative Report </w:t>
      </w:r>
      <w:r w:rsidR="00B97B51">
        <w:rPr>
          <w:rFonts w:ascii="Times New Roman" w:hAnsi="Times New Roman"/>
          <w:b/>
          <w:sz w:val="24"/>
          <w:szCs w:val="24"/>
        </w:rPr>
        <w:t>2016-2017</w:t>
      </w:r>
    </w:p>
    <w:p w14:paraId="4F97AEFA" w14:textId="77777777" w:rsidR="00FE3A1B" w:rsidRPr="00344F14" w:rsidRDefault="00FE3A1B" w:rsidP="00FE3A1B">
      <w:pPr>
        <w:pStyle w:val="NoSpacing"/>
        <w:rPr>
          <w:rFonts w:ascii="Times New Roman" w:hAnsi="Times New Roman"/>
          <w:sz w:val="24"/>
          <w:szCs w:val="24"/>
        </w:rPr>
      </w:pPr>
    </w:p>
    <w:p w14:paraId="09209845" w14:textId="77777777" w:rsidR="00A82F21" w:rsidRPr="00A82F21" w:rsidRDefault="00A82F21" w:rsidP="00A82F21">
      <w:pPr>
        <w:autoSpaceDE w:val="0"/>
        <w:autoSpaceDN w:val="0"/>
        <w:adjustRightInd w:val="0"/>
        <w:spacing w:after="120" w:line="240" w:lineRule="auto"/>
        <w:rPr>
          <w:rFonts w:ascii="Times New Roman" w:hAnsi="Times New Roman"/>
          <w:b/>
          <w:sz w:val="24"/>
          <w:szCs w:val="24"/>
        </w:rPr>
      </w:pPr>
      <w:r w:rsidRPr="00A82F21">
        <w:rPr>
          <w:rFonts w:ascii="Times New Roman" w:hAnsi="Times New Roman"/>
          <w:b/>
          <w:bCs/>
          <w:sz w:val="24"/>
          <w:szCs w:val="24"/>
        </w:rPr>
        <w:t xml:space="preserve">1. </w:t>
      </w:r>
      <w:r w:rsidRPr="00955125">
        <w:rPr>
          <w:rFonts w:ascii="Times New Roman" w:hAnsi="Times New Roman"/>
          <w:b/>
          <w:bCs/>
          <w:sz w:val="24"/>
          <w:szCs w:val="24"/>
        </w:rPr>
        <w:t>State Leadership Funds</w:t>
      </w:r>
      <w:r w:rsidRPr="00A82F21">
        <w:rPr>
          <w:rFonts w:ascii="Times New Roman" w:hAnsi="Times New Roman"/>
          <w:b/>
          <w:bCs/>
          <w:sz w:val="24"/>
          <w:szCs w:val="24"/>
        </w:rPr>
        <w:t xml:space="preserve"> </w:t>
      </w:r>
      <w:r w:rsidRPr="00955125">
        <w:rPr>
          <w:rFonts w:ascii="Times New Roman" w:hAnsi="Times New Roman"/>
          <w:sz w:val="24"/>
          <w:szCs w:val="24"/>
        </w:rPr>
        <w:t>(AEFLA Section 223)</w:t>
      </w:r>
    </w:p>
    <w:p w14:paraId="427E54AD" w14:textId="77777777" w:rsidR="00A82F21" w:rsidRPr="00955125" w:rsidRDefault="00A82F21" w:rsidP="00A82F21">
      <w:pPr>
        <w:autoSpaceDE w:val="0"/>
        <w:autoSpaceDN w:val="0"/>
        <w:adjustRightInd w:val="0"/>
        <w:spacing w:after="0" w:line="240" w:lineRule="auto"/>
        <w:ind w:left="360" w:hanging="360"/>
        <w:rPr>
          <w:rFonts w:ascii="Times New Roman" w:hAnsi="Times New Roman"/>
          <w:i/>
          <w:sz w:val="24"/>
          <w:szCs w:val="24"/>
        </w:rPr>
      </w:pPr>
      <w:r w:rsidRPr="00955125">
        <w:rPr>
          <w:rFonts w:ascii="Times New Roman" w:hAnsi="Times New Roman"/>
          <w:i/>
          <w:sz w:val="24"/>
          <w:szCs w:val="24"/>
        </w:rPr>
        <w:t xml:space="preserve">(a) </w:t>
      </w:r>
      <w:r w:rsidRPr="00955125">
        <w:rPr>
          <w:rFonts w:ascii="Times New Roman" w:hAnsi="Times New Roman"/>
          <w:i/>
          <w:sz w:val="24"/>
          <w:szCs w:val="24"/>
        </w:rPr>
        <w:tab/>
        <w:t>Describe how the State has used funds made available under section 223 (State Leadership activities) for each the following required activities:</w:t>
      </w:r>
    </w:p>
    <w:p w14:paraId="038340E0"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Alignment of adult education and literacy activities with other one-stop required partners to implement the strategies in the Unified or Combined State Plan as described in section 223(1)(a).</w:t>
      </w:r>
    </w:p>
    <w:p w14:paraId="5D5C848D"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Establishment or operation of a high quality professional development programs as described in section 223(1)(b).</w:t>
      </w:r>
    </w:p>
    <w:p w14:paraId="4155F162"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Provision of technical assistance to funded eligible providers as described in section 223(1)(c).</w:t>
      </w:r>
    </w:p>
    <w:p w14:paraId="191A267A" w14:textId="77777777" w:rsidR="00A82F21" w:rsidRPr="00955125" w:rsidRDefault="00A82F21" w:rsidP="00A82F21">
      <w:pPr>
        <w:pStyle w:val="ListParagraph"/>
        <w:numPr>
          <w:ilvl w:val="0"/>
          <w:numId w:val="1"/>
        </w:numPr>
        <w:autoSpaceDE w:val="0"/>
        <w:autoSpaceDN w:val="0"/>
        <w:adjustRightInd w:val="0"/>
        <w:spacing w:after="0" w:line="240" w:lineRule="auto"/>
        <w:ind w:hanging="270"/>
        <w:rPr>
          <w:rFonts w:ascii="Times New Roman" w:hAnsi="Times New Roman"/>
          <w:i/>
          <w:sz w:val="24"/>
          <w:szCs w:val="24"/>
        </w:rPr>
      </w:pPr>
      <w:r w:rsidRPr="00955125">
        <w:rPr>
          <w:rFonts w:ascii="Times New Roman" w:hAnsi="Times New Roman"/>
          <w:i/>
          <w:sz w:val="24"/>
          <w:szCs w:val="24"/>
        </w:rPr>
        <w:t>Monitoring and evaluation of the quality and improvement of adult education activities as described in section 223(1)(d).</w:t>
      </w:r>
    </w:p>
    <w:p w14:paraId="1B42E30D" w14:textId="77777777" w:rsidR="004D1D86" w:rsidRPr="00955125" w:rsidRDefault="00A82F21" w:rsidP="00A82F21">
      <w:pPr>
        <w:autoSpaceDE w:val="0"/>
        <w:autoSpaceDN w:val="0"/>
        <w:adjustRightInd w:val="0"/>
        <w:spacing w:after="0" w:line="240" w:lineRule="auto"/>
        <w:ind w:left="360" w:hanging="360"/>
        <w:rPr>
          <w:rFonts w:ascii="Times New Roman" w:hAnsi="Times New Roman"/>
          <w:i/>
          <w:sz w:val="24"/>
          <w:szCs w:val="24"/>
        </w:rPr>
      </w:pPr>
      <w:r w:rsidRPr="00955125">
        <w:rPr>
          <w:rFonts w:ascii="Times New Roman" w:hAnsi="Times New Roman"/>
          <w:i/>
          <w:sz w:val="24"/>
          <w:szCs w:val="24"/>
        </w:rPr>
        <w:t xml:space="preserve">(b) </w:t>
      </w:r>
      <w:r w:rsidRPr="00955125">
        <w:rPr>
          <w:rFonts w:ascii="Times New Roman" w:hAnsi="Times New Roman"/>
          <w:i/>
          <w:sz w:val="24"/>
          <w:szCs w:val="24"/>
        </w:rPr>
        <w:tab/>
        <w:t>As applicable, describe how the State has used funds for additional permissible activities described in section 223(a)(2).</w:t>
      </w:r>
    </w:p>
    <w:p w14:paraId="700D1D32" w14:textId="77777777" w:rsidR="004D1D86" w:rsidRPr="004D1D86" w:rsidRDefault="004D1D86" w:rsidP="003660F4">
      <w:pPr>
        <w:pStyle w:val="BodyText"/>
        <w:rPr>
          <w:b/>
          <w:szCs w:val="24"/>
        </w:rPr>
      </w:pPr>
    </w:p>
    <w:p w14:paraId="46BC2111" w14:textId="0105E4CA" w:rsidR="00533550" w:rsidRDefault="00157C05" w:rsidP="008D7DA9">
      <w:pPr>
        <w:autoSpaceDE w:val="0"/>
        <w:autoSpaceDN w:val="0"/>
        <w:adjustRightInd w:val="0"/>
        <w:spacing w:after="120" w:line="240" w:lineRule="auto"/>
        <w:rPr>
          <w:rFonts w:ascii="Times New Roman" w:hAnsi="Times New Roman"/>
          <w:sz w:val="24"/>
          <w:szCs w:val="24"/>
        </w:rPr>
      </w:pPr>
      <w:r>
        <w:rPr>
          <w:rFonts w:ascii="Times New Roman" w:hAnsi="Times New Roman"/>
          <w:sz w:val="24"/>
          <w:szCs w:val="24"/>
        </w:rPr>
        <w:t>Hawaii’s</w:t>
      </w:r>
      <w:r w:rsidRPr="00533550">
        <w:rPr>
          <w:rFonts w:ascii="Times New Roman" w:hAnsi="Times New Roman"/>
          <w:sz w:val="24"/>
          <w:szCs w:val="24"/>
        </w:rPr>
        <w:t xml:space="preserve"> Workforce Innovation and Opportunities Act (WIOA) Unified State Plan</w:t>
      </w:r>
      <w:r w:rsidRPr="00157C05">
        <w:rPr>
          <w:rFonts w:ascii="Times New Roman" w:hAnsi="Times New Roman"/>
          <w:sz w:val="24"/>
          <w:szCs w:val="24"/>
        </w:rPr>
        <w:t xml:space="preserve"> is</w:t>
      </w:r>
      <w:r>
        <w:rPr>
          <w:rFonts w:ascii="Times New Roman" w:hAnsi="Times New Roman"/>
          <w:i/>
          <w:sz w:val="24"/>
          <w:szCs w:val="24"/>
        </w:rPr>
        <w:t xml:space="preserve"> a</w:t>
      </w:r>
      <w:r w:rsidR="00117CD2" w:rsidRPr="00533550">
        <w:rPr>
          <w:rFonts w:ascii="Times New Roman" w:hAnsi="Times New Roman"/>
          <w:i/>
          <w:sz w:val="24"/>
          <w:szCs w:val="24"/>
        </w:rPr>
        <w:t xml:space="preserve"> vision for workforce development in Hawaii that ensures all employers have competitively-skilled employees and all residents have sustainable employment and self-sufficiency</w:t>
      </w:r>
      <w:r w:rsidR="00117CD2" w:rsidRPr="00533550">
        <w:rPr>
          <w:rFonts w:ascii="Times New Roman" w:hAnsi="Times New Roman"/>
          <w:sz w:val="24"/>
          <w:szCs w:val="24"/>
        </w:rPr>
        <w:t>. Hawaii’s coordinated State Plan foster</w:t>
      </w:r>
      <w:r>
        <w:rPr>
          <w:rFonts w:ascii="Times New Roman" w:hAnsi="Times New Roman"/>
          <w:sz w:val="24"/>
          <w:szCs w:val="24"/>
        </w:rPr>
        <w:t>s</w:t>
      </w:r>
      <w:r w:rsidR="00117CD2" w:rsidRPr="00533550">
        <w:rPr>
          <w:rFonts w:ascii="Times New Roman" w:hAnsi="Times New Roman"/>
          <w:sz w:val="24"/>
          <w:szCs w:val="24"/>
        </w:rPr>
        <w:t xml:space="preserve"> strong collaboration, is regionally sensitive and aligns, coordinates, and integrates workforce services to meet the needs of employers and residents to build a robust economy. Towards this end, the State of Hawaii Department of Education (HIDOE) adult education program is </w:t>
      </w:r>
      <w:r w:rsidR="00533550">
        <w:rPr>
          <w:rFonts w:ascii="Times New Roman" w:hAnsi="Times New Roman"/>
          <w:sz w:val="24"/>
          <w:szCs w:val="24"/>
        </w:rPr>
        <w:t xml:space="preserve">progressing </w:t>
      </w:r>
      <w:r w:rsidR="00533550" w:rsidRPr="00533550">
        <w:rPr>
          <w:rFonts w:ascii="Times New Roman" w:hAnsi="Times New Roman"/>
          <w:sz w:val="24"/>
          <w:szCs w:val="24"/>
        </w:rPr>
        <w:t xml:space="preserve">to address the WIOA requirements and fulfill the vision and goals of Hawaii’s Unified State Plan. </w:t>
      </w:r>
    </w:p>
    <w:p w14:paraId="46357E1E" w14:textId="4385D9EB" w:rsidR="00533550" w:rsidRPr="008D7DA9" w:rsidRDefault="00C2296F" w:rsidP="008D7DA9">
      <w:pPr>
        <w:autoSpaceDE w:val="0"/>
        <w:autoSpaceDN w:val="0"/>
        <w:adjustRightInd w:val="0"/>
        <w:spacing w:after="120" w:line="240" w:lineRule="auto"/>
        <w:rPr>
          <w:rFonts w:ascii="Times New Roman" w:hAnsi="Times New Roman"/>
          <w:sz w:val="24"/>
          <w:szCs w:val="24"/>
        </w:rPr>
      </w:pPr>
      <w:r w:rsidRPr="00533550">
        <w:rPr>
          <w:rFonts w:ascii="Times New Roman" w:hAnsi="Times New Roman"/>
          <w:sz w:val="24"/>
          <w:szCs w:val="24"/>
        </w:rPr>
        <w:t xml:space="preserve">Adult Basic Education (ABE), </w:t>
      </w:r>
      <w:r w:rsidR="00ED1CA6" w:rsidRPr="00533550">
        <w:rPr>
          <w:rFonts w:ascii="Times New Roman" w:hAnsi="Times New Roman"/>
          <w:sz w:val="24"/>
          <w:szCs w:val="24"/>
        </w:rPr>
        <w:t>Integrated English Literacy and Civics Education (IELCE; formerly English as a Second Language)</w:t>
      </w:r>
      <w:r w:rsidRPr="00533550">
        <w:rPr>
          <w:rFonts w:ascii="Times New Roman" w:hAnsi="Times New Roman"/>
          <w:sz w:val="24"/>
          <w:szCs w:val="24"/>
        </w:rPr>
        <w:t xml:space="preserve">, and Adult Secondary Education (ASE) programs, activities, and services are provided for Hawaii’s adult learners with the skills to become successful workers, citizens, and family members. </w:t>
      </w:r>
      <w:r w:rsidR="00915A82" w:rsidRPr="00533550">
        <w:rPr>
          <w:rFonts w:ascii="Times New Roman" w:hAnsi="Times New Roman"/>
          <w:sz w:val="24"/>
          <w:szCs w:val="24"/>
        </w:rPr>
        <w:t xml:space="preserve"> </w:t>
      </w:r>
      <w:r w:rsidRPr="00533550">
        <w:rPr>
          <w:rFonts w:ascii="Times New Roman" w:hAnsi="Times New Roman"/>
          <w:sz w:val="24"/>
          <w:szCs w:val="24"/>
        </w:rPr>
        <w:t>Working cooperatively with state and local agencies, the Hawaii State Department of Education</w:t>
      </w:r>
      <w:r w:rsidR="00915A82" w:rsidRPr="00533550">
        <w:rPr>
          <w:rFonts w:ascii="Times New Roman" w:hAnsi="Times New Roman"/>
          <w:sz w:val="24"/>
          <w:szCs w:val="24"/>
        </w:rPr>
        <w:t xml:space="preserve"> </w:t>
      </w:r>
      <w:r w:rsidRPr="00533550">
        <w:rPr>
          <w:rFonts w:ascii="Times New Roman" w:hAnsi="Times New Roman"/>
          <w:sz w:val="24"/>
          <w:szCs w:val="24"/>
        </w:rPr>
        <w:t>(</w:t>
      </w:r>
      <w:r w:rsidR="00915A82" w:rsidRPr="00533550">
        <w:rPr>
          <w:rFonts w:ascii="Times New Roman" w:hAnsi="Times New Roman"/>
          <w:sz w:val="24"/>
          <w:szCs w:val="24"/>
        </w:rPr>
        <w:t>HI</w:t>
      </w:r>
      <w:r w:rsidRPr="00533550">
        <w:rPr>
          <w:rFonts w:ascii="Times New Roman" w:hAnsi="Times New Roman"/>
          <w:sz w:val="24"/>
          <w:szCs w:val="24"/>
        </w:rPr>
        <w:t>DOE)</w:t>
      </w:r>
      <w:r w:rsidR="00915A82" w:rsidRPr="00533550">
        <w:rPr>
          <w:rFonts w:ascii="Times New Roman" w:hAnsi="Times New Roman"/>
          <w:sz w:val="24"/>
          <w:szCs w:val="24"/>
        </w:rPr>
        <w:t xml:space="preserve"> </w:t>
      </w:r>
      <w:r w:rsidR="0053278F" w:rsidRPr="00533550">
        <w:rPr>
          <w:rFonts w:ascii="Times New Roman" w:hAnsi="Times New Roman"/>
          <w:sz w:val="24"/>
          <w:szCs w:val="24"/>
        </w:rPr>
        <w:t>is</w:t>
      </w:r>
      <w:r w:rsidR="00157010" w:rsidRPr="00533550">
        <w:rPr>
          <w:rFonts w:ascii="Times New Roman" w:hAnsi="Times New Roman"/>
          <w:sz w:val="24"/>
          <w:szCs w:val="24"/>
        </w:rPr>
        <w:t xml:space="preserve"> continuing</w:t>
      </w:r>
      <w:r w:rsidR="0038409F" w:rsidRPr="00533550">
        <w:rPr>
          <w:rFonts w:ascii="Times New Roman" w:hAnsi="Times New Roman"/>
          <w:sz w:val="24"/>
          <w:szCs w:val="24"/>
        </w:rPr>
        <w:t xml:space="preserve"> efforts to </w:t>
      </w:r>
      <w:r w:rsidR="00371104" w:rsidRPr="00533550">
        <w:rPr>
          <w:rFonts w:ascii="Times New Roman" w:hAnsi="Times New Roman"/>
          <w:sz w:val="24"/>
          <w:szCs w:val="24"/>
        </w:rPr>
        <w:t>in</w:t>
      </w:r>
      <w:r w:rsidR="0038409F" w:rsidRPr="00533550">
        <w:rPr>
          <w:rFonts w:ascii="Times New Roman" w:hAnsi="Times New Roman"/>
          <w:sz w:val="24"/>
          <w:szCs w:val="24"/>
        </w:rPr>
        <w:t>tegrate</w:t>
      </w:r>
      <w:r w:rsidR="00371104" w:rsidRPr="00533550">
        <w:rPr>
          <w:rFonts w:ascii="Times New Roman" w:hAnsi="Times New Roman"/>
          <w:sz w:val="24"/>
          <w:szCs w:val="24"/>
        </w:rPr>
        <w:t xml:space="preserve"> education and training initiatives to ensure succes</w:t>
      </w:r>
      <w:r w:rsidR="0038409F" w:rsidRPr="00533550">
        <w:rPr>
          <w:rFonts w:ascii="Times New Roman" w:hAnsi="Times New Roman"/>
          <w:sz w:val="24"/>
          <w:szCs w:val="24"/>
        </w:rPr>
        <w:t>s</w:t>
      </w:r>
      <w:r w:rsidR="00AC4582" w:rsidRPr="00533550">
        <w:rPr>
          <w:rFonts w:ascii="Times New Roman" w:hAnsi="Times New Roman"/>
          <w:sz w:val="24"/>
          <w:szCs w:val="24"/>
        </w:rPr>
        <w:t xml:space="preserve"> for Hawaii’s adult population under the new Workforce </w:t>
      </w:r>
      <w:r w:rsidR="002C76D1" w:rsidRPr="00533550">
        <w:rPr>
          <w:rFonts w:ascii="Times New Roman" w:hAnsi="Times New Roman"/>
          <w:sz w:val="24"/>
          <w:szCs w:val="24"/>
        </w:rPr>
        <w:t xml:space="preserve">Innovation and Opportunities </w:t>
      </w:r>
      <w:r w:rsidR="00AC4582" w:rsidRPr="00533550">
        <w:rPr>
          <w:rFonts w:ascii="Times New Roman" w:hAnsi="Times New Roman"/>
          <w:sz w:val="24"/>
          <w:szCs w:val="24"/>
        </w:rPr>
        <w:t>Act (WIOA).</w:t>
      </w:r>
      <w:r w:rsidR="00B03E70" w:rsidRPr="00533550">
        <w:rPr>
          <w:rFonts w:ascii="Times New Roman" w:hAnsi="Times New Roman"/>
          <w:sz w:val="24"/>
          <w:szCs w:val="24"/>
        </w:rPr>
        <w:t xml:space="preserve">  </w:t>
      </w:r>
    </w:p>
    <w:p w14:paraId="0D3411A1" w14:textId="77777777" w:rsidR="00B03E70" w:rsidRPr="00533550" w:rsidRDefault="002456C4" w:rsidP="000A2EAF">
      <w:pPr>
        <w:pStyle w:val="BodyText"/>
        <w:spacing w:after="120"/>
        <w:rPr>
          <w:szCs w:val="24"/>
        </w:rPr>
      </w:pPr>
      <w:r w:rsidRPr="00533550">
        <w:rPr>
          <w:szCs w:val="24"/>
        </w:rPr>
        <w:t xml:space="preserve">Stringent finances continue to hamper efforts to adequately service the adult education local agencies and communities as well as </w:t>
      </w:r>
      <w:r w:rsidR="00AC4582" w:rsidRPr="00533550">
        <w:rPr>
          <w:szCs w:val="24"/>
        </w:rPr>
        <w:t xml:space="preserve">to </w:t>
      </w:r>
      <w:r w:rsidRPr="00533550">
        <w:rPr>
          <w:szCs w:val="24"/>
        </w:rPr>
        <w:t>develop new initiatives by</w:t>
      </w:r>
      <w:r w:rsidR="00141EC2" w:rsidRPr="00533550">
        <w:rPr>
          <w:szCs w:val="24"/>
        </w:rPr>
        <w:t xml:space="preserve"> the State </w:t>
      </w:r>
      <w:r w:rsidR="00DE6BFD" w:rsidRPr="00533550">
        <w:rPr>
          <w:szCs w:val="24"/>
        </w:rPr>
        <w:t xml:space="preserve">Adult Education and </w:t>
      </w:r>
      <w:r w:rsidR="00141EC2" w:rsidRPr="00533550">
        <w:rPr>
          <w:szCs w:val="24"/>
        </w:rPr>
        <w:t>C</w:t>
      </w:r>
      <w:r w:rsidR="00935279">
        <w:rPr>
          <w:szCs w:val="24"/>
        </w:rPr>
        <w:t>ommunity Education Office</w:t>
      </w:r>
      <w:r w:rsidRPr="00533550">
        <w:rPr>
          <w:szCs w:val="24"/>
        </w:rPr>
        <w:t xml:space="preserve">. </w:t>
      </w:r>
      <w:r w:rsidR="00987E29" w:rsidRPr="00533550">
        <w:rPr>
          <w:szCs w:val="24"/>
        </w:rPr>
        <w:t xml:space="preserve"> </w:t>
      </w:r>
      <w:r w:rsidR="0038409F" w:rsidRPr="00533550">
        <w:rPr>
          <w:szCs w:val="24"/>
        </w:rPr>
        <w:t xml:space="preserve">State </w:t>
      </w:r>
      <w:r w:rsidRPr="00533550">
        <w:rPr>
          <w:szCs w:val="24"/>
        </w:rPr>
        <w:t>expenditures are the</w:t>
      </w:r>
      <w:r w:rsidR="0038409F" w:rsidRPr="00533550">
        <w:rPr>
          <w:szCs w:val="24"/>
        </w:rPr>
        <w:t xml:space="preserve"> salaries and benefits of one full-time employee (Acting Adult Basi</w:t>
      </w:r>
      <w:r w:rsidR="00915A82" w:rsidRPr="00533550">
        <w:rPr>
          <w:szCs w:val="24"/>
        </w:rPr>
        <w:t>c Education Director)</w:t>
      </w:r>
      <w:r w:rsidRPr="00533550">
        <w:rPr>
          <w:szCs w:val="24"/>
        </w:rPr>
        <w:t xml:space="preserve"> and two</w:t>
      </w:r>
      <w:r w:rsidR="0038409F" w:rsidRPr="00533550">
        <w:rPr>
          <w:szCs w:val="24"/>
        </w:rPr>
        <w:t xml:space="preserve"> part-time employees to operate the </w:t>
      </w:r>
      <w:r w:rsidR="00DE6BFD" w:rsidRPr="00533550">
        <w:rPr>
          <w:szCs w:val="24"/>
        </w:rPr>
        <w:t>s</w:t>
      </w:r>
      <w:r w:rsidR="0053278F" w:rsidRPr="00533550">
        <w:rPr>
          <w:szCs w:val="24"/>
        </w:rPr>
        <w:t>tate</w:t>
      </w:r>
      <w:r w:rsidR="00DE6BFD" w:rsidRPr="00533550">
        <w:rPr>
          <w:szCs w:val="24"/>
        </w:rPr>
        <w:t xml:space="preserve"> office</w:t>
      </w:r>
      <w:r w:rsidR="00987E29" w:rsidRPr="00533550">
        <w:rPr>
          <w:szCs w:val="24"/>
        </w:rPr>
        <w:t>,</w:t>
      </w:r>
      <w:r w:rsidR="0038409F" w:rsidRPr="00533550">
        <w:rPr>
          <w:szCs w:val="24"/>
        </w:rPr>
        <w:t xml:space="preserve"> provision of technical as</w:t>
      </w:r>
      <w:r w:rsidR="00987E29" w:rsidRPr="00533550">
        <w:rPr>
          <w:szCs w:val="24"/>
        </w:rPr>
        <w:t xml:space="preserve">sistance for </w:t>
      </w:r>
      <w:r w:rsidR="00DE6BFD" w:rsidRPr="00533550">
        <w:rPr>
          <w:szCs w:val="24"/>
        </w:rPr>
        <w:t xml:space="preserve">state and </w:t>
      </w:r>
      <w:r w:rsidR="00987E29" w:rsidRPr="00533550">
        <w:rPr>
          <w:szCs w:val="24"/>
        </w:rPr>
        <w:t>local agencies,</w:t>
      </w:r>
      <w:r w:rsidR="0038409F" w:rsidRPr="00533550">
        <w:rPr>
          <w:szCs w:val="24"/>
        </w:rPr>
        <w:t xml:space="preserve"> the Lit</w:t>
      </w:r>
      <w:r w:rsidR="00987E29" w:rsidRPr="00533550">
        <w:rPr>
          <w:szCs w:val="24"/>
        </w:rPr>
        <w:t>eracyPro data management system,</w:t>
      </w:r>
      <w:r w:rsidR="0038409F" w:rsidRPr="00533550">
        <w:rPr>
          <w:szCs w:val="24"/>
        </w:rPr>
        <w:t xml:space="preserve"> curriculum materials and technical assistance for the </w:t>
      </w:r>
      <w:r w:rsidR="00AC4582" w:rsidRPr="00533550">
        <w:rPr>
          <w:szCs w:val="24"/>
        </w:rPr>
        <w:t>ad</w:t>
      </w:r>
      <w:r w:rsidR="00F000DC">
        <w:rPr>
          <w:szCs w:val="24"/>
        </w:rPr>
        <w:t>ministration</w:t>
      </w:r>
      <w:r w:rsidR="00AC4582" w:rsidRPr="00533550">
        <w:rPr>
          <w:szCs w:val="24"/>
        </w:rPr>
        <w:t xml:space="preserve"> of </w:t>
      </w:r>
      <w:r w:rsidR="0038409F" w:rsidRPr="00533550">
        <w:rPr>
          <w:szCs w:val="24"/>
        </w:rPr>
        <w:t>TABE</w:t>
      </w:r>
      <w:r w:rsidR="00AC4582" w:rsidRPr="00533550">
        <w:rPr>
          <w:szCs w:val="24"/>
        </w:rPr>
        <w:t xml:space="preserve"> and </w:t>
      </w:r>
      <w:r w:rsidR="00DD45C5" w:rsidRPr="00533550">
        <w:rPr>
          <w:szCs w:val="24"/>
        </w:rPr>
        <w:t>High School Equivalency Test (HiSET)</w:t>
      </w:r>
      <w:r w:rsidR="00AC4582" w:rsidRPr="00533550">
        <w:rPr>
          <w:vanish/>
          <w:szCs w:val="24"/>
        </w:rPr>
        <w:t>iSSET</w:t>
      </w:r>
      <w:r w:rsidR="00987E29" w:rsidRPr="00533550">
        <w:rPr>
          <w:szCs w:val="24"/>
        </w:rPr>
        <w:t>,</w:t>
      </w:r>
      <w:r w:rsidR="0038409F" w:rsidRPr="00533550">
        <w:rPr>
          <w:szCs w:val="24"/>
        </w:rPr>
        <w:t xml:space="preserve"> instr</w:t>
      </w:r>
      <w:r w:rsidR="00987E29" w:rsidRPr="00533550">
        <w:rPr>
          <w:szCs w:val="24"/>
        </w:rPr>
        <w:t>uctional supplies and materials, and</w:t>
      </w:r>
      <w:r w:rsidR="0038409F" w:rsidRPr="00533550">
        <w:rPr>
          <w:szCs w:val="24"/>
        </w:rPr>
        <w:t xml:space="preserve"> travel expenses. </w:t>
      </w:r>
      <w:r w:rsidR="00987E29" w:rsidRPr="00533550">
        <w:rPr>
          <w:szCs w:val="24"/>
        </w:rPr>
        <w:t xml:space="preserve"> </w:t>
      </w:r>
      <w:r w:rsidRPr="00533550">
        <w:rPr>
          <w:szCs w:val="24"/>
        </w:rPr>
        <w:t>Fo</w:t>
      </w:r>
      <w:r w:rsidR="00AC4582" w:rsidRPr="00533550">
        <w:rPr>
          <w:szCs w:val="24"/>
        </w:rPr>
        <w:t xml:space="preserve">r </w:t>
      </w:r>
      <w:r w:rsidR="00AC4582" w:rsidRPr="00E962FA">
        <w:rPr>
          <w:szCs w:val="24"/>
        </w:rPr>
        <w:t>a</w:t>
      </w:r>
      <w:r w:rsidRPr="00E962FA">
        <w:rPr>
          <w:szCs w:val="24"/>
        </w:rPr>
        <w:t xml:space="preserve"> </w:t>
      </w:r>
      <w:r w:rsidR="00F546C7" w:rsidRPr="00E962FA">
        <w:rPr>
          <w:szCs w:val="24"/>
        </w:rPr>
        <w:t>third</w:t>
      </w:r>
      <w:r w:rsidRPr="00533550">
        <w:rPr>
          <w:szCs w:val="24"/>
        </w:rPr>
        <w:t xml:space="preserve"> consecutive year, n</w:t>
      </w:r>
      <w:r w:rsidR="0038409F" w:rsidRPr="00533550">
        <w:rPr>
          <w:szCs w:val="24"/>
        </w:rPr>
        <w:t>o state general funds were allocated for the operation of the</w:t>
      </w:r>
      <w:r w:rsidR="00935279">
        <w:rPr>
          <w:szCs w:val="24"/>
        </w:rPr>
        <w:t xml:space="preserve"> State Adult Education and Community Education Office</w:t>
      </w:r>
      <w:r w:rsidR="0038409F" w:rsidRPr="00533550">
        <w:rPr>
          <w:szCs w:val="24"/>
        </w:rPr>
        <w:t xml:space="preserve">. </w:t>
      </w:r>
      <w:r w:rsidR="00987E29" w:rsidRPr="00533550">
        <w:rPr>
          <w:szCs w:val="24"/>
        </w:rPr>
        <w:t xml:space="preserve"> </w:t>
      </w:r>
      <w:r w:rsidR="0038409F" w:rsidRPr="00533550">
        <w:rPr>
          <w:szCs w:val="24"/>
        </w:rPr>
        <w:t>Hence, only AEFLA funds were available for the hiring of two part-time employees</w:t>
      </w:r>
      <w:r w:rsidR="00987E29" w:rsidRPr="00533550">
        <w:rPr>
          <w:szCs w:val="24"/>
        </w:rPr>
        <w:t>, one</w:t>
      </w:r>
      <w:r w:rsidR="00554535" w:rsidRPr="00533550">
        <w:rPr>
          <w:szCs w:val="24"/>
        </w:rPr>
        <w:t xml:space="preserve"> who serves </w:t>
      </w:r>
      <w:r w:rsidR="0038409F" w:rsidRPr="00533550">
        <w:rPr>
          <w:szCs w:val="24"/>
        </w:rPr>
        <w:t xml:space="preserve">as </w:t>
      </w:r>
      <w:r w:rsidRPr="00533550">
        <w:rPr>
          <w:szCs w:val="24"/>
        </w:rPr>
        <w:t xml:space="preserve">a </w:t>
      </w:r>
      <w:r w:rsidR="0038409F" w:rsidRPr="00533550">
        <w:rPr>
          <w:szCs w:val="24"/>
        </w:rPr>
        <w:t>state-l</w:t>
      </w:r>
      <w:r w:rsidRPr="00533550">
        <w:rPr>
          <w:szCs w:val="24"/>
        </w:rPr>
        <w:t xml:space="preserve">evel data manager and </w:t>
      </w:r>
      <w:r w:rsidR="00987E29" w:rsidRPr="00533550">
        <w:rPr>
          <w:szCs w:val="24"/>
        </w:rPr>
        <w:t>one</w:t>
      </w:r>
      <w:r w:rsidR="00AC4582" w:rsidRPr="00533550">
        <w:rPr>
          <w:szCs w:val="24"/>
        </w:rPr>
        <w:t xml:space="preserve"> who serves as the State Professional Development </w:t>
      </w:r>
      <w:r w:rsidR="0038409F" w:rsidRPr="00533550">
        <w:rPr>
          <w:szCs w:val="24"/>
        </w:rPr>
        <w:t xml:space="preserve">and Curriculum Coordinator. </w:t>
      </w:r>
      <w:r w:rsidR="00987E29" w:rsidRPr="00533550">
        <w:rPr>
          <w:szCs w:val="24"/>
        </w:rPr>
        <w:t xml:space="preserve"> </w:t>
      </w:r>
      <w:r w:rsidR="0038409F" w:rsidRPr="00533550">
        <w:rPr>
          <w:szCs w:val="24"/>
        </w:rPr>
        <w:t xml:space="preserve">Each </w:t>
      </w:r>
      <w:r w:rsidR="00141EC2" w:rsidRPr="00533550">
        <w:rPr>
          <w:szCs w:val="24"/>
        </w:rPr>
        <w:t>part-time employee</w:t>
      </w:r>
      <w:r w:rsidR="0038409F" w:rsidRPr="00533550">
        <w:rPr>
          <w:szCs w:val="24"/>
        </w:rPr>
        <w:t xml:space="preserve"> is allowed 17 hours of work per week. </w:t>
      </w:r>
      <w:r w:rsidR="00987E29" w:rsidRPr="00533550">
        <w:rPr>
          <w:szCs w:val="24"/>
        </w:rPr>
        <w:t xml:space="preserve"> </w:t>
      </w:r>
      <w:r w:rsidRPr="00533550">
        <w:rPr>
          <w:szCs w:val="24"/>
        </w:rPr>
        <w:t xml:space="preserve">Due to the </w:t>
      </w:r>
      <w:r w:rsidRPr="00533550">
        <w:rPr>
          <w:szCs w:val="24"/>
        </w:rPr>
        <w:lastRenderedPageBreak/>
        <w:t xml:space="preserve">shortage of funds, secretarial and financial management duties are </w:t>
      </w:r>
      <w:r w:rsidR="00935279">
        <w:rPr>
          <w:szCs w:val="24"/>
        </w:rPr>
        <w:t xml:space="preserve">also </w:t>
      </w:r>
      <w:r w:rsidR="00141EC2" w:rsidRPr="00533550">
        <w:rPr>
          <w:szCs w:val="24"/>
        </w:rPr>
        <w:t>performed</w:t>
      </w:r>
      <w:r w:rsidRPr="00533550">
        <w:rPr>
          <w:szCs w:val="24"/>
        </w:rPr>
        <w:t xml:space="preserve"> by the Acting ABE Director with </w:t>
      </w:r>
      <w:r w:rsidR="00935279">
        <w:rPr>
          <w:szCs w:val="24"/>
        </w:rPr>
        <w:t xml:space="preserve">some </w:t>
      </w:r>
      <w:r w:rsidRPr="00533550">
        <w:rPr>
          <w:szCs w:val="24"/>
        </w:rPr>
        <w:t xml:space="preserve">assistance from </w:t>
      </w:r>
      <w:r w:rsidR="00987E29" w:rsidRPr="00533550">
        <w:rPr>
          <w:szCs w:val="24"/>
        </w:rPr>
        <w:t>HI</w:t>
      </w:r>
      <w:r w:rsidRPr="00533550">
        <w:rPr>
          <w:szCs w:val="24"/>
        </w:rPr>
        <w:t xml:space="preserve">DOE’s Office of Curriculum, Instruction, and Student Support where the </w:t>
      </w:r>
      <w:r w:rsidR="0053278F" w:rsidRPr="00533550">
        <w:rPr>
          <w:szCs w:val="24"/>
        </w:rPr>
        <w:t xml:space="preserve">State </w:t>
      </w:r>
      <w:r w:rsidR="00DE6BFD" w:rsidRPr="00533550">
        <w:rPr>
          <w:szCs w:val="24"/>
        </w:rPr>
        <w:t xml:space="preserve">Adult Education and </w:t>
      </w:r>
      <w:r w:rsidR="0053278F" w:rsidRPr="00533550">
        <w:rPr>
          <w:szCs w:val="24"/>
        </w:rPr>
        <w:t xml:space="preserve">Community Education section </w:t>
      </w:r>
      <w:r w:rsidRPr="00533550">
        <w:rPr>
          <w:szCs w:val="24"/>
        </w:rPr>
        <w:t>is housed.</w:t>
      </w:r>
    </w:p>
    <w:p w14:paraId="219500F7" w14:textId="57FE4FDF" w:rsidR="002456C4" w:rsidRPr="00533550" w:rsidRDefault="00B03E70" w:rsidP="000A2EAF">
      <w:pPr>
        <w:pStyle w:val="BodyText"/>
        <w:spacing w:after="120"/>
        <w:rPr>
          <w:szCs w:val="24"/>
        </w:rPr>
      </w:pPr>
      <w:r w:rsidRPr="00533550">
        <w:rPr>
          <w:szCs w:val="24"/>
        </w:rPr>
        <w:t xml:space="preserve">The </w:t>
      </w:r>
      <w:r w:rsidR="0053278F" w:rsidRPr="00533550">
        <w:rPr>
          <w:szCs w:val="24"/>
        </w:rPr>
        <w:t xml:space="preserve">State </w:t>
      </w:r>
      <w:r w:rsidR="00DE6BFD" w:rsidRPr="00533550">
        <w:rPr>
          <w:szCs w:val="24"/>
        </w:rPr>
        <w:t xml:space="preserve">Adult Education and </w:t>
      </w:r>
      <w:r w:rsidR="00935279">
        <w:rPr>
          <w:szCs w:val="24"/>
        </w:rPr>
        <w:t xml:space="preserve">Community Education Office </w:t>
      </w:r>
      <w:r w:rsidRPr="00533550">
        <w:rPr>
          <w:szCs w:val="24"/>
        </w:rPr>
        <w:t xml:space="preserve">facilitates meetings with the Community Schools for Adults </w:t>
      </w:r>
      <w:r w:rsidR="00DD45C5" w:rsidRPr="00533550">
        <w:rPr>
          <w:szCs w:val="24"/>
        </w:rPr>
        <w:t xml:space="preserve">(CSA) </w:t>
      </w:r>
      <w:r w:rsidRPr="00533550">
        <w:rPr>
          <w:szCs w:val="24"/>
        </w:rPr>
        <w:t xml:space="preserve">staff </w:t>
      </w:r>
      <w:r w:rsidR="00C669CD" w:rsidRPr="00533550">
        <w:rPr>
          <w:szCs w:val="24"/>
        </w:rPr>
        <w:t xml:space="preserve">at least once a month </w:t>
      </w:r>
      <w:r w:rsidRPr="00533550">
        <w:rPr>
          <w:szCs w:val="24"/>
        </w:rPr>
        <w:t xml:space="preserve">to provide technical assistance on program implementation and to monitor and evaluate the quality of the programs offered.  During these meetings, the staff receives updates on developments in adult education, </w:t>
      </w:r>
      <w:r w:rsidR="0053278F" w:rsidRPr="00533550">
        <w:rPr>
          <w:szCs w:val="24"/>
        </w:rPr>
        <w:t xml:space="preserve">available </w:t>
      </w:r>
      <w:r w:rsidRPr="00533550">
        <w:rPr>
          <w:szCs w:val="24"/>
        </w:rPr>
        <w:t xml:space="preserve">resources, and </w:t>
      </w:r>
      <w:r w:rsidR="00C669CD" w:rsidRPr="00533550">
        <w:rPr>
          <w:szCs w:val="24"/>
        </w:rPr>
        <w:t>program direction</w:t>
      </w:r>
      <w:r w:rsidR="00DD45C5" w:rsidRPr="00533550">
        <w:rPr>
          <w:szCs w:val="24"/>
        </w:rPr>
        <w:t xml:space="preserve"> and shares progress, successes, and challenges</w:t>
      </w:r>
      <w:r w:rsidR="00C669CD" w:rsidRPr="00533550">
        <w:rPr>
          <w:szCs w:val="24"/>
        </w:rPr>
        <w:t xml:space="preserve">.  The </w:t>
      </w:r>
      <w:r w:rsidR="0053278F" w:rsidRPr="00533550">
        <w:rPr>
          <w:szCs w:val="24"/>
        </w:rPr>
        <w:t xml:space="preserve">State </w:t>
      </w:r>
      <w:r w:rsidR="00DE6BFD" w:rsidRPr="00533550">
        <w:rPr>
          <w:szCs w:val="24"/>
        </w:rPr>
        <w:t xml:space="preserve">Adult Education and </w:t>
      </w:r>
      <w:r w:rsidR="00935279">
        <w:rPr>
          <w:szCs w:val="24"/>
        </w:rPr>
        <w:t>Community Education Office</w:t>
      </w:r>
      <w:r w:rsidR="0053278F" w:rsidRPr="00533550">
        <w:rPr>
          <w:szCs w:val="24"/>
        </w:rPr>
        <w:t xml:space="preserve"> </w:t>
      </w:r>
      <w:r w:rsidR="00C669CD" w:rsidRPr="00533550">
        <w:rPr>
          <w:szCs w:val="24"/>
        </w:rPr>
        <w:t xml:space="preserve">and the </w:t>
      </w:r>
      <w:r w:rsidR="00DD45C5" w:rsidRPr="00533550">
        <w:rPr>
          <w:szCs w:val="24"/>
        </w:rPr>
        <w:t>CSAs</w:t>
      </w:r>
      <w:r w:rsidR="00C669CD" w:rsidRPr="00533550">
        <w:rPr>
          <w:szCs w:val="24"/>
        </w:rPr>
        <w:t xml:space="preserve"> also meet regularly with community partners to ensure consistent and complementary program implementation.  The </w:t>
      </w:r>
      <w:r w:rsidR="0053278F" w:rsidRPr="00533550">
        <w:rPr>
          <w:szCs w:val="24"/>
        </w:rPr>
        <w:t xml:space="preserve">State </w:t>
      </w:r>
      <w:r w:rsidR="00DE6BFD" w:rsidRPr="00533550">
        <w:rPr>
          <w:szCs w:val="24"/>
        </w:rPr>
        <w:t xml:space="preserve">Adult Education and </w:t>
      </w:r>
      <w:r w:rsidR="00935279">
        <w:rPr>
          <w:szCs w:val="24"/>
        </w:rPr>
        <w:t xml:space="preserve">Community Education Office </w:t>
      </w:r>
      <w:r w:rsidR="00C669CD" w:rsidRPr="00533550">
        <w:rPr>
          <w:szCs w:val="24"/>
        </w:rPr>
        <w:t>provides professional development on contextualized learning a</w:t>
      </w:r>
      <w:r w:rsidR="00DD45C5" w:rsidRPr="00533550">
        <w:rPr>
          <w:szCs w:val="24"/>
        </w:rPr>
        <w:t xml:space="preserve">nd </w:t>
      </w:r>
      <w:r w:rsidR="00EE3614" w:rsidRPr="00533550">
        <w:rPr>
          <w:szCs w:val="24"/>
        </w:rPr>
        <w:t xml:space="preserve">the </w:t>
      </w:r>
      <w:r w:rsidR="00DE6BFD" w:rsidRPr="00533550">
        <w:rPr>
          <w:szCs w:val="24"/>
        </w:rPr>
        <w:t xml:space="preserve">components of the Unified State Plan and the AEFLA </w:t>
      </w:r>
      <w:r w:rsidR="00935279">
        <w:rPr>
          <w:szCs w:val="24"/>
        </w:rPr>
        <w:t xml:space="preserve">local </w:t>
      </w:r>
      <w:r w:rsidR="00DE6BFD" w:rsidRPr="00533550">
        <w:rPr>
          <w:szCs w:val="24"/>
        </w:rPr>
        <w:t>plan.</w:t>
      </w:r>
      <w:r w:rsidR="00D74FF7" w:rsidRPr="00533550">
        <w:rPr>
          <w:szCs w:val="24"/>
        </w:rPr>
        <w:t xml:space="preserve">  It also provides access to online resources, such as LINCS (Literacy Information and Communication System), WIDA (World-Class Instructional Design and Assessment), the National Adult Education Professional Development Consortium, the Association of Adult Literacy Professional Developers, ETS, GED Testing Service, Edmentum, and Blackboard Learning, for professional development opportunities.</w:t>
      </w:r>
      <w:r w:rsidR="00801A48">
        <w:rPr>
          <w:szCs w:val="24"/>
        </w:rPr>
        <w:t xml:space="preserve">  </w:t>
      </w:r>
    </w:p>
    <w:p w14:paraId="6C52D566" w14:textId="77777777" w:rsidR="003660F4" w:rsidRPr="00533550" w:rsidRDefault="00D850FB" w:rsidP="000A2EAF">
      <w:pPr>
        <w:pStyle w:val="BodyText"/>
        <w:spacing w:after="120"/>
        <w:rPr>
          <w:szCs w:val="24"/>
        </w:rPr>
      </w:pPr>
      <w:r w:rsidRPr="00533550">
        <w:rPr>
          <w:szCs w:val="24"/>
        </w:rPr>
        <w:t xml:space="preserve">State general funds </w:t>
      </w:r>
      <w:r w:rsidR="002456C4" w:rsidRPr="00533550">
        <w:rPr>
          <w:szCs w:val="24"/>
        </w:rPr>
        <w:t>for Program Year</w:t>
      </w:r>
      <w:r w:rsidR="00915A82" w:rsidRPr="00533550">
        <w:rPr>
          <w:szCs w:val="24"/>
        </w:rPr>
        <w:t xml:space="preserve"> (PY)</w:t>
      </w:r>
      <w:r w:rsidR="002456C4" w:rsidRPr="00533550">
        <w:rPr>
          <w:szCs w:val="24"/>
        </w:rPr>
        <w:t xml:space="preserve"> </w:t>
      </w:r>
      <w:r w:rsidR="008A4C09">
        <w:rPr>
          <w:szCs w:val="24"/>
        </w:rPr>
        <w:t>2016-17</w:t>
      </w:r>
      <w:r w:rsidR="002456C4" w:rsidRPr="00533550">
        <w:rPr>
          <w:szCs w:val="24"/>
        </w:rPr>
        <w:t xml:space="preserve"> have been </w:t>
      </w:r>
      <w:r w:rsidRPr="00533550">
        <w:rPr>
          <w:szCs w:val="24"/>
        </w:rPr>
        <w:t>allotted</w:t>
      </w:r>
      <w:r w:rsidR="002456C4" w:rsidRPr="00533550">
        <w:rPr>
          <w:szCs w:val="24"/>
        </w:rPr>
        <w:t xml:space="preserve"> to the </w:t>
      </w:r>
      <w:r w:rsidR="00987E29" w:rsidRPr="00533550">
        <w:rPr>
          <w:szCs w:val="24"/>
        </w:rPr>
        <w:t xml:space="preserve">two </w:t>
      </w:r>
      <w:r w:rsidR="00DD45C5" w:rsidRPr="00533550">
        <w:rPr>
          <w:szCs w:val="24"/>
        </w:rPr>
        <w:t>CSAs</w:t>
      </w:r>
      <w:r w:rsidR="00987E29" w:rsidRPr="00533550">
        <w:rPr>
          <w:szCs w:val="24"/>
        </w:rPr>
        <w:t xml:space="preserve"> – McKinley CSA and Waipahu CSA – to provide adult education services.  </w:t>
      </w:r>
      <w:r w:rsidR="00E9787B" w:rsidRPr="00533550">
        <w:rPr>
          <w:szCs w:val="24"/>
        </w:rPr>
        <w:t>McK</w:t>
      </w:r>
      <w:r w:rsidR="00987E29" w:rsidRPr="00533550">
        <w:rPr>
          <w:szCs w:val="24"/>
        </w:rPr>
        <w:t xml:space="preserve">inley CSA </w:t>
      </w:r>
      <w:r w:rsidR="00DA567C" w:rsidRPr="00533550">
        <w:rPr>
          <w:szCs w:val="24"/>
        </w:rPr>
        <w:t>includes</w:t>
      </w:r>
      <w:r w:rsidR="00987E29" w:rsidRPr="00533550">
        <w:rPr>
          <w:szCs w:val="24"/>
        </w:rPr>
        <w:t xml:space="preserve"> the</w:t>
      </w:r>
      <w:r w:rsidR="00E9787B" w:rsidRPr="00533550">
        <w:rPr>
          <w:szCs w:val="24"/>
        </w:rPr>
        <w:t xml:space="preserve"> </w:t>
      </w:r>
      <w:r w:rsidR="00DA567C" w:rsidRPr="00533550">
        <w:rPr>
          <w:szCs w:val="24"/>
        </w:rPr>
        <w:t xml:space="preserve">McKinley, </w:t>
      </w:r>
      <w:r w:rsidR="008C16DC" w:rsidRPr="00533550">
        <w:rPr>
          <w:szCs w:val="24"/>
        </w:rPr>
        <w:t>Farrington</w:t>
      </w:r>
      <w:r w:rsidR="00296F35" w:rsidRPr="00533550">
        <w:rPr>
          <w:szCs w:val="24"/>
        </w:rPr>
        <w:t xml:space="preserve">, </w:t>
      </w:r>
      <w:r w:rsidR="00E77483" w:rsidRPr="00533550">
        <w:rPr>
          <w:szCs w:val="24"/>
        </w:rPr>
        <w:t xml:space="preserve">Moanalua, </w:t>
      </w:r>
      <w:r w:rsidR="00296F35" w:rsidRPr="00533550">
        <w:rPr>
          <w:szCs w:val="24"/>
        </w:rPr>
        <w:t>Kauai</w:t>
      </w:r>
      <w:r w:rsidR="002B04F2" w:rsidRPr="00533550">
        <w:rPr>
          <w:szCs w:val="24"/>
        </w:rPr>
        <w:t>,</w:t>
      </w:r>
      <w:r w:rsidR="00296F35" w:rsidRPr="00533550">
        <w:rPr>
          <w:szCs w:val="24"/>
        </w:rPr>
        <w:t xml:space="preserve"> </w:t>
      </w:r>
      <w:r w:rsidR="008C16DC" w:rsidRPr="00533550">
        <w:rPr>
          <w:szCs w:val="24"/>
        </w:rPr>
        <w:t xml:space="preserve">and </w:t>
      </w:r>
      <w:r w:rsidR="00296F35" w:rsidRPr="00533550">
        <w:rPr>
          <w:szCs w:val="24"/>
        </w:rPr>
        <w:t xml:space="preserve">Maui </w:t>
      </w:r>
      <w:r w:rsidR="008C16DC" w:rsidRPr="00533550">
        <w:rPr>
          <w:szCs w:val="24"/>
        </w:rPr>
        <w:t>campuses</w:t>
      </w:r>
      <w:r w:rsidR="00987E29" w:rsidRPr="00533550">
        <w:rPr>
          <w:szCs w:val="24"/>
        </w:rPr>
        <w:t xml:space="preserve"> and sites on Molokai and Lanai</w:t>
      </w:r>
      <w:r w:rsidRPr="00533550">
        <w:rPr>
          <w:szCs w:val="24"/>
        </w:rPr>
        <w:t xml:space="preserve"> and </w:t>
      </w:r>
      <w:r w:rsidR="00987E29" w:rsidRPr="00533550">
        <w:rPr>
          <w:szCs w:val="24"/>
        </w:rPr>
        <w:t xml:space="preserve">in </w:t>
      </w:r>
      <w:r w:rsidRPr="00533550">
        <w:rPr>
          <w:szCs w:val="24"/>
        </w:rPr>
        <w:t>Hana</w:t>
      </w:r>
      <w:r w:rsidR="00987E29" w:rsidRPr="00533550">
        <w:rPr>
          <w:szCs w:val="24"/>
        </w:rPr>
        <w:t xml:space="preserve">.  The </w:t>
      </w:r>
      <w:r w:rsidR="00296F35" w:rsidRPr="00533550">
        <w:rPr>
          <w:szCs w:val="24"/>
        </w:rPr>
        <w:t>Waipahu C</w:t>
      </w:r>
      <w:r w:rsidR="00987E29" w:rsidRPr="00533550">
        <w:rPr>
          <w:szCs w:val="24"/>
        </w:rPr>
        <w:t xml:space="preserve">SA </w:t>
      </w:r>
      <w:r w:rsidR="008C16DC" w:rsidRPr="00533550">
        <w:rPr>
          <w:szCs w:val="24"/>
        </w:rPr>
        <w:t xml:space="preserve">includes </w:t>
      </w:r>
      <w:r w:rsidR="00987E29" w:rsidRPr="00533550">
        <w:rPr>
          <w:szCs w:val="24"/>
        </w:rPr>
        <w:t xml:space="preserve">the </w:t>
      </w:r>
      <w:r w:rsidR="00DA567C" w:rsidRPr="00533550">
        <w:rPr>
          <w:szCs w:val="24"/>
        </w:rPr>
        <w:t xml:space="preserve">Waipahu, </w:t>
      </w:r>
      <w:r w:rsidR="00296F35" w:rsidRPr="00533550">
        <w:rPr>
          <w:szCs w:val="24"/>
        </w:rPr>
        <w:t xml:space="preserve">Hilo, Kona, Wahiawa, and Windward </w:t>
      </w:r>
      <w:r w:rsidR="008C16DC" w:rsidRPr="00533550">
        <w:rPr>
          <w:szCs w:val="24"/>
        </w:rPr>
        <w:t>campuses</w:t>
      </w:r>
      <w:r w:rsidRPr="00533550">
        <w:rPr>
          <w:szCs w:val="24"/>
        </w:rPr>
        <w:t xml:space="preserve"> and sites in Waianae and Kapolei</w:t>
      </w:r>
      <w:r w:rsidR="00DA488F" w:rsidRPr="00533550">
        <w:rPr>
          <w:szCs w:val="24"/>
        </w:rPr>
        <w:t xml:space="preserve">.  </w:t>
      </w:r>
      <w:r w:rsidR="003660F4" w:rsidRPr="00533550">
        <w:rPr>
          <w:rFonts w:eastAsia="Arial Unicode MS"/>
          <w:szCs w:val="24"/>
        </w:rPr>
        <w:t xml:space="preserve">Through the </w:t>
      </w:r>
      <w:r w:rsidR="00B033BF" w:rsidRPr="00533550">
        <w:rPr>
          <w:rFonts w:eastAsia="Arial Unicode MS"/>
          <w:szCs w:val="24"/>
        </w:rPr>
        <w:t xml:space="preserve">CSAs, HIDOE </w:t>
      </w:r>
      <w:r w:rsidR="003660F4" w:rsidRPr="00533550">
        <w:rPr>
          <w:rFonts w:eastAsia="Arial Unicode MS"/>
          <w:szCs w:val="24"/>
        </w:rPr>
        <w:t xml:space="preserve">provides instructional services in basic skills and acculturation to encourage an effective student transition to the labor force, </w:t>
      </w:r>
      <w:r w:rsidR="00B9096C" w:rsidRPr="00533550">
        <w:rPr>
          <w:rFonts w:eastAsia="Arial Unicode MS"/>
          <w:szCs w:val="24"/>
        </w:rPr>
        <w:t xml:space="preserve">military, </w:t>
      </w:r>
      <w:r w:rsidR="0053278F" w:rsidRPr="00533550">
        <w:rPr>
          <w:rFonts w:eastAsia="Arial Unicode MS"/>
          <w:szCs w:val="24"/>
        </w:rPr>
        <w:t>and</w:t>
      </w:r>
      <w:r w:rsidR="003660F4" w:rsidRPr="00533550">
        <w:rPr>
          <w:rFonts w:eastAsia="Arial Unicode MS"/>
          <w:szCs w:val="24"/>
        </w:rPr>
        <w:t xml:space="preserve"> post-secondary education.  The strategic ge</w:t>
      </w:r>
      <w:r w:rsidR="00DA488F" w:rsidRPr="00533550">
        <w:rPr>
          <w:rFonts w:eastAsia="Arial Unicode MS"/>
          <w:szCs w:val="24"/>
        </w:rPr>
        <w:t>ographical locations of the CSA campuses</w:t>
      </w:r>
      <w:r w:rsidR="0053278F" w:rsidRPr="00533550">
        <w:rPr>
          <w:rFonts w:eastAsia="Arial Unicode MS"/>
          <w:szCs w:val="24"/>
        </w:rPr>
        <w:t xml:space="preserve"> ensure life</w:t>
      </w:r>
      <w:r w:rsidR="003660F4" w:rsidRPr="00533550">
        <w:rPr>
          <w:rFonts w:eastAsia="Arial Unicode MS"/>
          <w:szCs w:val="24"/>
        </w:rPr>
        <w:t xml:space="preserve">long learning opportunities are accessible across the state.  </w:t>
      </w:r>
      <w:r w:rsidR="003660F4" w:rsidRPr="00533550">
        <w:rPr>
          <w:szCs w:val="24"/>
        </w:rPr>
        <w:t>The CSAs provide these education</w:t>
      </w:r>
      <w:r w:rsidR="000B3142" w:rsidRPr="00533550">
        <w:rPr>
          <w:szCs w:val="24"/>
        </w:rPr>
        <w:t>al</w:t>
      </w:r>
      <w:r w:rsidR="003660F4" w:rsidRPr="00533550">
        <w:rPr>
          <w:szCs w:val="24"/>
        </w:rPr>
        <w:t xml:space="preserve"> services to adults in an effort to improve their personal well-being and employment opportunities, allowing them to contribute positively to the communities in which they live.  </w:t>
      </w:r>
    </w:p>
    <w:p w14:paraId="40D1A9CF" w14:textId="77777777" w:rsidR="00433176" w:rsidRPr="00533550" w:rsidRDefault="00864970" w:rsidP="00BB4616">
      <w:pPr>
        <w:pStyle w:val="BodyText"/>
        <w:spacing w:after="120"/>
        <w:rPr>
          <w:szCs w:val="24"/>
        </w:rPr>
      </w:pPr>
      <w:r w:rsidRPr="00533550">
        <w:rPr>
          <w:rFonts w:eastAsia="Arial Unicode MS"/>
          <w:szCs w:val="24"/>
        </w:rPr>
        <w:t xml:space="preserve">Hawaii’s adult education program </w:t>
      </w:r>
      <w:r w:rsidR="003660F4" w:rsidRPr="00533550">
        <w:rPr>
          <w:rFonts w:eastAsia="Arial Unicode MS"/>
          <w:szCs w:val="24"/>
        </w:rPr>
        <w:t>provide</w:t>
      </w:r>
      <w:r w:rsidRPr="00533550">
        <w:rPr>
          <w:rFonts w:eastAsia="Arial Unicode MS"/>
          <w:szCs w:val="24"/>
        </w:rPr>
        <w:t>s</w:t>
      </w:r>
      <w:r w:rsidR="003660F4" w:rsidRPr="00533550">
        <w:rPr>
          <w:rFonts w:eastAsia="Arial Unicode MS"/>
          <w:szCs w:val="24"/>
        </w:rPr>
        <w:t xml:space="preserve"> classes for the adult population most in need.  The</w:t>
      </w:r>
      <w:r w:rsidRPr="00533550">
        <w:rPr>
          <w:rFonts w:eastAsia="Arial Unicode MS"/>
          <w:szCs w:val="24"/>
        </w:rPr>
        <w:t>se</w:t>
      </w:r>
      <w:r w:rsidR="003660F4" w:rsidRPr="00533550">
        <w:rPr>
          <w:rFonts w:eastAsia="Arial Unicode MS"/>
          <w:szCs w:val="24"/>
        </w:rPr>
        <w:t xml:space="preserve"> </w:t>
      </w:r>
      <w:r w:rsidR="00520947" w:rsidRPr="00533550">
        <w:rPr>
          <w:rFonts w:eastAsia="Arial Unicode MS"/>
          <w:szCs w:val="24"/>
        </w:rPr>
        <w:t xml:space="preserve">programs </w:t>
      </w:r>
      <w:r w:rsidR="003660F4" w:rsidRPr="00533550">
        <w:rPr>
          <w:rFonts w:eastAsia="Arial Unicode MS"/>
          <w:szCs w:val="24"/>
        </w:rPr>
        <w:t xml:space="preserve">address adults </w:t>
      </w:r>
      <w:r w:rsidR="00A85FE2" w:rsidRPr="00533550">
        <w:rPr>
          <w:szCs w:val="24"/>
        </w:rPr>
        <w:t>who are functionally illiterate, have limited English language skills, are immigrants, are incarcerated or institutionalized, lack a high school diploma, and/or are receiving social services from the State.</w:t>
      </w:r>
      <w:r w:rsidR="003660F4" w:rsidRPr="00533550">
        <w:rPr>
          <w:rFonts w:eastAsia="Arial Unicode MS"/>
          <w:szCs w:val="24"/>
        </w:rPr>
        <w:t xml:space="preserve">  </w:t>
      </w:r>
      <w:r w:rsidR="00EA23A1" w:rsidRPr="00533550">
        <w:rPr>
          <w:szCs w:val="24"/>
        </w:rPr>
        <w:t xml:space="preserve">The CSAs offer </w:t>
      </w:r>
      <w:r w:rsidR="00DD45C5" w:rsidRPr="00533550">
        <w:rPr>
          <w:szCs w:val="24"/>
        </w:rPr>
        <w:t xml:space="preserve">a </w:t>
      </w:r>
      <w:r w:rsidR="00EA23A1" w:rsidRPr="00533550">
        <w:rPr>
          <w:szCs w:val="24"/>
        </w:rPr>
        <w:t xml:space="preserve">multi-level </w:t>
      </w:r>
      <w:r w:rsidR="00815F6A">
        <w:rPr>
          <w:rFonts w:eastAsia="Arial Unicode MS"/>
          <w:szCs w:val="24"/>
        </w:rPr>
        <w:t>Integrated English Literacy and Civics Education</w:t>
      </w:r>
      <w:r w:rsidR="00DE6BFD" w:rsidRPr="00533550">
        <w:rPr>
          <w:rFonts w:eastAsia="Arial Unicode MS"/>
          <w:szCs w:val="24"/>
        </w:rPr>
        <w:t xml:space="preserve"> (</w:t>
      </w:r>
      <w:r w:rsidR="00815F6A">
        <w:rPr>
          <w:rFonts w:eastAsia="Arial Unicode MS"/>
          <w:szCs w:val="24"/>
        </w:rPr>
        <w:t>IELCE</w:t>
      </w:r>
      <w:r w:rsidR="00DE6BFD" w:rsidRPr="00533550">
        <w:rPr>
          <w:rFonts w:eastAsia="Arial Unicode MS"/>
          <w:szCs w:val="24"/>
        </w:rPr>
        <w:t xml:space="preserve">) </w:t>
      </w:r>
      <w:r w:rsidR="00EE3614" w:rsidRPr="00533550">
        <w:rPr>
          <w:rFonts w:eastAsia="Arial Unicode MS"/>
          <w:szCs w:val="24"/>
        </w:rPr>
        <w:t>program</w:t>
      </w:r>
      <w:r w:rsidR="00EA23A1" w:rsidRPr="00533550">
        <w:rPr>
          <w:szCs w:val="24"/>
        </w:rPr>
        <w:t xml:space="preserve"> to meet the needs of their students in developing their English language skills</w:t>
      </w:r>
      <w:r w:rsidR="0034336D" w:rsidRPr="00533550">
        <w:rPr>
          <w:szCs w:val="24"/>
        </w:rPr>
        <w:t xml:space="preserve"> and</w:t>
      </w:r>
      <w:r w:rsidR="00777E63" w:rsidRPr="00533550">
        <w:rPr>
          <w:szCs w:val="24"/>
        </w:rPr>
        <w:t xml:space="preserve"> adjusting to life in Hawaii</w:t>
      </w:r>
      <w:r w:rsidR="00EA23A1" w:rsidRPr="00533550">
        <w:rPr>
          <w:szCs w:val="24"/>
        </w:rPr>
        <w:t xml:space="preserve">.  They </w:t>
      </w:r>
      <w:r w:rsidR="00DD45C5" w:rsidRPr="00533550">
        <w:rPr>
          <w:szCs w:val="24"/>
        </w:rPr>
        <w:t>offer ABE</w:t>
      </w:r>
      <w:r w:rsidR="0034336D" w:rsidRPr="00533550">
        <w:rPr>
          <w:rFonts w:eastAsia="Arial Unicode MS"/>
          <w:szCs w:val="24"/>
        </w:rPr>
        <w:t xml:space="preserve"> </w:t>
      </w:r>
      <w:r w:rsidR="00EA23A1" w:rsidRPr="00533550">
        <w:rPr>
          <w:szCs w:val="24"/>
        </w:rPr>
        <w:t>courses to help students improve their basic academic skills</w:t>
      </w:r>
      <w:r w:rsidR="007C31D8" w:rsidRPr="00533550">
        <w:rPr>
          <w:szCs w:val="24"/>
        </w:rPr>
        <w:t xml:space="preserve"> so that they may become more productive members of </w:t>
      </w:r>
      <w:r w:rsidR="0034336D" w:rsidRPr="00533550">
        <w:rPr>
          <w:szCs w:val="24"/>
        </w:rPr>
        <w:t xml:space="preserve">their respective communities.  Within the </w:t>
      </w:r>
      <w:r w:rsidR="00DD45C5" w:rsidRPr="00533550">
        <w:rPr>
          <w:rFonts w:eastAsia="Arial Unicode MS"/>
          <w:szCs w:val="24"/>
        </w:rPr>
        <w:t>ASE</w:t>
      </w:r>
      <w:r w:rsidR="0034336D" w:rsidRPr="00533550">
        <w:rPr>
          <w:rFonts w:eastAsia="Arial Unicode MS"/>
          <w:szCs w:val="24"/>
        </w:rPr>
        <w:t xml:space="preserve"> </w:t>
      </w:r>
      <w:r w:rsidR="0034336D" w:rsidRPr="00533550">
        <w:rPr>
          <w:szCs w:val="24"/>
        </w:rPr>
        <w:t>program, t</w:t>
      </w:r>
      <w:r w:rsidR="007C31D8" w:rsidRPr="00533550">
        <w:rPr>
          <w:szCs w:val="24"/>
        </w:rPr>
        <w:t xml:space="preserve">he CSAs offer two </w:t>
      </w:r>
      <w:r w:rsidR="00C21C66" w:rsidRPr="00533550">
        <w:rPr>
          <w:szCs w:val="24"/>
        </w:rPr>
        <w:t xml:space="preserve">Hawaii Adult Community School Diploma </w:t>
      </w:r>
      <w:r w:rsidR="007C31D8" w:rsidRPr="00533550">
        <w:rPr>
          <w:szCs w:val="24"/>
        </w:rPr>
        <w:t xml:space="preserve">programs – the Competency-Based </w:t>
      </w:r>
      <w:r w:rsidR="004956AD" w:rsidRPr="00533550">
        <w:rPr>
          <w:szCs w:val="24"/>
        </w:rPr>
        <w:t>Community</w:t>
      </w:r>
      <w:r w:rsidR="004F436C" w:rsidRPr="00533550">
        <w:rPr>
          <w:szCs w:val="24"/>
        </w:rPr>
        <w:t xml:space="preserve"> School Diploma </w:t>
      </w:r>
      <w:r w:rsidR="00433176" w:rsidRPr="00533550">
        <w:rPr>
          <w:szCs w:val="24"/>
        </w:rPr>
        <w:t xml:space="preserve">Program </w:t>
      </w:r>
      <w:r w:rsidR="007C31D8" w:rsidRPr="00533550">
        <w:rPr>
          <w:szCs w:val="24"/>
        </w:rPr>
        <w:t xml:space="preserve">and the </w:t>
      </w:r>
      <w:r w:rsidR="00E97039" w:rsidRPr="00533550">
        <w:rPr>
          <w:szCs w:val="24"/>
        </w:rPr>
        <w:t>High School Equivalency Preparation</w:t>
      </w:r>
      <w:r w:rsidR="007C7BCC" w:rsidRPr="00533550">
        <w:rPr>
          <w:szCs w:val="24"/>
        </w:rPr>
        <w:t xml:space="preserve"> </w:t>
      </w:r>
      <w:r w:rsidR="007C31D8" w:rsidRPr="00533550">
        <w:rPr>
          <w:szCs w:val="24"/>
        </w:rPr>
        <w:t>program</w:t>
      </w:r>
      <w:r w:rsidR="004F436C" w:rsidRPr="00533550">
        <w:rPr>
          <w:szCs w:val="24"/>
        </w:rPr>
        <w:t>.  Students in the Competency-Based program</w:t>
      </w:r>
      <w:r w:rsidR="007C31D8" w:rsidRPr="00533550">
        <w:rPr>
          <w:szCs w:val="24"/>
        </w:rPr>
        <w:t xml:space="preserve"> must show they are functionally literate through a series of activities and assessments and must prove they are college- and/or career-ready by </w:t>
      </w:r>
      <w:r w:rsidR="001E7ABE" w:rsidRPr="00533550">
        <w:rPr>
          <w:szCs w:val="24"/>
        </w:rPr>
        <w:t xml:space="preserve">either </w:t>
      </w:r>
      <w:r w:rsidR="0053278F" w:rsidRPr="00533550">
        <w:rPr>
          <w:szCs w:val="24"/>
        </w:rPr>
        <w:t>earning a credit from a post</w:t>
      </w:r>
      <w:r w:rsidR="007C31D8" w:rsidRPr="00533550">
        <w:rPr>
          <w:szCs w:val="24"/>
        </w:rPr>
        <w:t xml:space="preserve">secondary school or obtaining work experience or a marketable skill before being granted their diploma.  Students in the </w:t>
      </w:r>
      <w:r w:rsidR="00E97039" w:rsidRPr="00533550">
        <w:rPr>
          <w:szCs w:val="24"/>
        </w:rPr>
        <w:t>High School Equivalency</w:t>
      </w:r>
      <w:r w:rsidR="007C31D8" w:rsidRPr="00533550">
        <w:rPr>
          <w:szCs w:val="24"/>
        </w:rPr>
        <w:t xml:space="preserve"> program must earn credits from a secondary school</w:t>
      </w:r>
      <w:r w:rsidR="0011721E" w:rsidRPr="00533550">
        <w:rPr>
          <w:szCs w:val="24"/>
        </w:rPr>
        <w:t xml:space="preserve"> in Hawaii</w:t>
      </w:r>
      <w:r w:rsidR="007C31D8" w:rsidRPr="00533550">
        <w:rPr>
          <w:szCs w:val="24"/>
        </w:rPr>
        <w:t xml:space="preserve"> and must pass </w:t>
      </w:r>
      <w:r w:rsidR="00E97039" w:rsidRPr="00533550">
        <w:rPr>
          <w:szCs w:val="24"/>
        </w:rPr>
        <w:t xml:space="preserve">either </w:t>
      </w:r>
      <w:r w:rsidR="007C31D8" w:rsidRPr="00533550">
        <w:rPr>
          <w:szCs w:val="24"/>
        </w:rPr>
        <w:t xml:space="preserve">the GED exam </w:t>
      </w:r>
      <w:r w:rsidR="00E97039" w:rsidRPr="00533550">
        <w:rPr>
          <w:szCs w:val="24"/>
        </w:rPr>
        <w:t xml:space="preserve">or the </w:t>
      </w:r>
      <w:r w:rsidR="00DD45C5" w:rsidRPr="00533550">
        <w:rPr>
          <w:szCs w:val="24"/>
        </w:rPr>
        <w:t xml:space="preserve">HiSET </w:t>
      </w:r>
      <w:r w:rsidR="007C31D8" w:rsidRPr="00533550">
        <w:rPr>
          <w:szCs w:val="24"/>
        </w:rPr>
        <w:t xml:space="preserve">to earn a </w:t>
      </w:r>
      <w:r w:rsidR="00BB05EB" w:rsidRPr="00533550">
        <w:rPr>
          <w:szCs w:val="24"/>
        </w:rPr>
        <w:t>community</w:t>
      </w:r>
      <w:r w:rsidR="007C31D8" w:rsidRPr="00533550">
        <w:rPr>
          <w:szCs w:val="24"/>
        </w:rPr>
        <w:t xml:space="preserve"> school diploma.</w:t>
      </w:r>
      <w:r w:rsidR="00EB4FFD" w:rsidRPr="00533550">
        <w:rPr>
          <w:szCs w:val="24"/>
        </w:rPr>
        <w:t xml:space="preserve"> </w:t>
      </w:r>
      <w:r w:rsidR="007C31D8" w:rsidRPr="00533550">
        <w:rPr>
          <w:szCs w:val="24"/>
        </w:rPr>
        <w:t xml:space="preserve"> </w:t>
      </w:r>
      <w:r w:rsidR="00BB4616" w:rsidRPr="00533550">
        <w:rPr>
          <w:szCs w:val="24"/>
        </w:rPr>
        <w:t xml:space="preserve">The CSAs are the only institutions with the ability to issue an HIDOE diploma to individuals no longer enrolled in high school.  </w:t>
      </w:r>
    </w:p>
    <w:p w14:paraId="735EB478" w14:textId="4C84464E" w:rsidR="00B26FF4" w:rsidRPr="00533550" w:rsidRDefault="00B26FF4" w:rsidP="00B26FF4">
      <w:pPr>
        <w:pStyle w:val="BodyText"/>
        <w:spacing w:after="120"/>
        <w:rPr>
          <w:szCs w:val="24"/>
        </w:rPr>
      </w:pPr>
      <w:r w:rsidRPr="00533550">
        <w:rPr>
          <w:szCs w:val="24"/>
        </w:rPr>
        <w:lastRenderedPageBreak/>
        <w:t>The CSAs have utilized multiple strategies to improve the literacy and numeracy skills of their students</w:t>
      </w:r>
      <w:r>
        <w:rPr>
          <w:szCs w:val="24"/>
        </w:rPr>
        <w:t>.  To ensure teachers develop the skills they need to increase student achievement</w:t>
      </w:r>
      <w:r w:rsidRPr="002B42D5">
        <w:rPr>
          <w:szCs w:val="24"/>
        </w:rPr>
        <w:t xml:space="preserve">, the CSAs conduct school-level professional development activities, such as training for </w:t>
      </w:r>
      <w:r>
        <w:rPr>
          <w:szCs w:val="24"/>
        </w:rPr>
        <w:t xml:space="preserve">the implementation and use of curricular programs such as </w:t>
      </w:r>
      <w:r w:rsidRPr="002B42D5">
        <w:rPr>
          <w:i/>
          <w:szCs w:val="24"/>
        </w:rPr>
        <w:t>BurlingtonEnglish</w:t>
      </w:r>
      <w:r>
        <w:rPr>
          <w:i/>
          <w:szCs w:val="24"/>
        </w:rPr>
        <w:t>, Stand Out</w:t>
      </w:r>
      <w:r w:rsidRPr="00EA523B">
        <w:rPr>
          <w:szCs w:val="24"/>
        </w:rPr>
        <w:t>,</w:t>
      </w:r>
      <w:r>
        <w:rPr>
          <w:szCs w:val="24"/>
        </w:rPr>
        <w:t xml:space="preserve"> </w:t>
      </w:r>
      <w:r w:rsidRPr="00EA523B">
        <w:rPr>
          <w:szCs w:val="24"/>
        </w:rPr>
        <w:t>iCAN,</w:t>
      </w:r>
      <w:r>
        <w:rPr>
          <w:szCs w:val="24"/>
        </w:rPr>
        <w:t xml:space="preserve"> and PLATO.  The CSAs also analyze student performance data and review and refine program expectations during new teacher orientation and regular staff meetings.</w:t>
      </w:r>
    </w:p>
    <w:p w14:paraId="466C3880" w14:textId="799F4FB7" w:rsidR="00030C04" w:rsidRDefault="00B26FF4" w:rsidP="000A2EAF">
      <w:pPr>
        <w:pStyle w:val="BodyText"/>
        <w:spacing w:after="120"/>
        <w:rPr>
          <w:szCs w:val="24"/>
        </w:rPr>
      </w:pPr>
      <w:r>
        <w:rPr>
          <w:szCs w:val="24"/>
        </w:rPr>
        <w:t xml:space="preserve">The CSAs have also </w:t>
      </w:r>
      <w:r w:rsidR="00BB39F9" w:rsidRPr="00533550">
        <w:rPr>
          <w:szCs w:val="24"/>
        </w:rPr>
        <w:t>increase</w:t>
      </w:r>
      <w:r>
        <w:rPr>
          <w:szCs w:val="24"/>
        </w:rPr>
        <w:t xml:space="preserve">d their </w:t>
      </w:r>
      <w:r w:rsidR="001F2EE3" w:rsidRPr="00533550">
        <w:rPr>
          <w:szCs w:val="24"/>
        </w:rPr>
        <w:t>use of technology</w:t>
      </w:r>
      <w:r>
        <w:rPr>
          <w:szCs w:val="24"/>
        </w:rPr>
        <w:t xml:space="preserve"> as part of their instruction to improve the literacy and numeracy skills of their students</w:t>
      </w:r>
      <w:r w:rsidR="001C1A07" w:rsidRPr="00533550">
        <w:rPr>
          <w:szCs w:val="24"/>
        </w:rPr>
        <w:t>.  The CSA have</w:t>
      </w:r>
      <w:r w:rsidR="001F2EE3" w:rsidRPr="00533550">
        <w:rPr>
          <w:szCs w:val="24"/>
        </w:rPr>
        <w:t xml:space="preserve"> </w:t>
      </w:r>
      <w:r w:rsidR="00B0758A" w:rsidRPr="00533550">
        <w:rPr>
          <w:szCs w:val="24"/>
        </w:rPr>
        <w:t>access to computer labs</w:t>
      </w:r>
      <w:r w:rsidR="00BB39F9" w:rsidRPr="00533550">
        <w:rPr>
          <w:szCs w:val="24"/>
        </w:rPr>
        <w:t xml:space="preserve"> and </w:t>
      </w:r>
      <w:r w:rsidR="001C1A07" w:rsidRPr="00533550">
        <w:rPr>
          <w:szCs w:val="24"/>
        </w:rPr>
        <w:t>provide</w:t>
      </w:r>
      <w:r w:rsidR="00BB39F9" w:rsidRPr="00533550">
        <w:rPr>
          <w:szCs w:val="24"/>
        </w:rPr>
        <w:t xml:space="preserve"> teachers with visual projectors, </w:t>
      </w:r>
      <w:r w:rsidR="00DB6ED1" w:rsidRPr="00533550">
        <w:rPr>
          <w:szCs w:val="24"/>
        </w:rPr>
        <w:t xml:space="preserve">SMARTBoards, </w:t>
      </w:r>
      <w:r w:rsidR="00D91C71" w:rsidRPr="00533550">
        <w:rPr>
          <w:szCs w:val="24"/>
        </w:rPr>
        <w:t xml:space="preserve">and TVs </w:t>
      </w:r>
      <w:r w:rsidR="00BB39F9" w:rsidRPr="00533550">
        <w:rPr>
          <w:szCs w:val="24"/>
        </w:rPr>
        <w:t>for classroom use.  The CSAs have</w:t>
      </w:r>
      <w:r w:rsidR="00030C04" w:rsidRPr="00533550">
        <w:rPr>
          <w:szCs w:val="24"/>
        </w:rPr>
        <w:t xml:space="preserve"> also</w:t>
      </w:r>
      <w:r w:rsidR="00BB39F9" w:rsidRPr="00533550">
        <w:rPr>
          <w:szCs w:val="24"/>
        </w:rPr>
        <w:t xml:space="preserve"> incorporated a number of computer-based programs to provide learning opportunities for their students.  The CSAs </w:t>
      </w:r>
      <w:r w:rsidR="00DB6ED1" w:rsidRPr="00533550">
        <w:rPr>
          <w:szCs w:val="24"/>
        </w:rPr>
        <w:t>continue to use</w:t>
      </w:r>
      <w:r w:rsidR="00BB39F9" w:rsidRPr="00533550">
        <w:rPr>
          <w:szCs w:val="24"/>
        </w:rPr>
        <w:t xml:space="preserve"> </w:t>
      </w:r>
      <w:r w:rsidR="00030C04" w:rsidRPr="00533550">
        <w:rPr>
          <w:szCs w:val="24"/>
        </w:rPr>
        <w:t xml:space="preserve">Achieve3000 </w:t>
      </w:r>
      <w:r w:rsidR="00BB39F9" w:rsidRPr="00533550">
        <w:rPr>
          <w:szCs w:val="24"/>
        </w:rPr>
        <w:t>and</w:t>
      </w:r>
      <w:r w:rsidR="008473E1" w:rsidRPr="00533550">
        <w:rPr>
          <w:szCs w:val="24"/>
        </w:rPr>
        <w:t xml:space="preserve"> Edmentum</w:t>
      </w:r>
      <w:r w:rsidR="00BB39F9" w:rsidRPr="00533550">
        <w:rPr>
          <w:szCs w:val="24"/>
        </w:rPr>
        <w:t xml:space="preserve"> to supplement classroom instruction for their ABE, ASE, a</w:t>
      </w:r>
      <w:r w:rsidR="00625B6E" w:rsidRPr="00533550">
        <w:rPr>
          <w:szCs w:val="24"/>
        </w:rPr>
        <w:t xml:space="preserve">nd </w:t>
      </w:r>
      <w:r w:rsidR="00FE4C1E" w:rsidRPr="00533550">
        <w:rPr>
          <w:szCs w:val="24"/>
        </w:rPr>
        <w:t>IELCE</w:t>
      </w:r>
      <w:r w:rsidR="00625B6E" w:rsidRPr="00533550">
        <w:rPr>
          <w:szCs w:val="24"/>
        </w:rPr>
        <w:t xml:space="preserve"> courses.  </w:t>
      </w:r>
      <w:r w:rsidR="00BE5DB3" w:rsidRPr="00533550">
        <w:rPr>
          <w:i/>
          <w:szCs w:val="24"/>
        </w:rPr>
        <w:t>Empower3000</w:t>
      </w:r>
      <w:r w:rsidR="00387ED9" w:rsidRPr="00533550">
        <w:rPr>
          <w:szCs w:val="24"/>
        </w:rPr>
        <w:t xml:space="preserve"> of the Achieve3000 program is </w:t>
      </w:r>
      <w:r w:rsidR="00625B6E" w:rsidRPr="00533550">
        <w:rPr>
          <w:szCs w:val="24"/>
        </w:rPr>
        <w:t xml:space="preserve">an adaptive </w:t>
      </w:r>
      <w:r w:rsidR="00BB39F9" w:rsidRPr="00533550">
        <w:rPr>
          <w:szCs w:val="24"/>
        </w:rPr>
        <w:t>computer-based reading program that provides a reading assessment to determine the reading level of the students and reading, writing, and math activities to assess students’ reading comprehension and develop students’ basic academic skills.</w:t>
      </w:r>
      <w:r w:rsidR="00C4210E" w:rsidRPr="00533550">
        <w:rPr>
          <w:szCs w:val="24"/>
        </w:rPr>
        <w:t xml:space="preserve">  The program also provides a college and career readiness assessment based on the students’ reading </w:t>
      </w:r>
      <w:r w:rsidR="00556AAA" w:rsidRPr="00533550">
        <w:rPr>
          <w:szCs w:val="24"/>
        </w:rPr>
        <w:t xml:space="preserve">fluency </w:t>
      </w:r>
      <w:r w:rsidR="004C3671" w:rsidRPr="00533550">
        <w:rPr>
          <w:szCs w:val="24"/>
        </w:rPr>
        <w:t>and comprehension</w:t>
      </w:r>
      <w:r w:rsidR="00C4210E" w:rsidRPr="00533550">
        <w:rPr>
          <w:szCs w:val="24"/>
        </w:rPr>
        <w:t>.</w:t>
      </w:r>
      <w:r w:rsidR="00BB39F9" w:rsidRPr="00533550">
        <w:rPr>
          <w:szCs w:val="24"/>
        </w:rPr>
        <w:t xml:space="preserve">  </w:t>
      </w:r>
      <w:r w:rsidR="00C4210E" w:rsidRPr="00533550">
        <w:rPr>
          <w:i/>
          <w:szCs w:val="24"/>
        </w:rPr>
        <w:t>Empower</w:t>
      </w:r>
      <w:r w:rsidR="00B07AA9" w:rsidRPr="00533550">
        <w:rPr>
          <w:i/>
          <w:szCs w:val="24"/>
        </w:rPr>
        <w:t>3000</w:t>
      </w:r>
      <w:r w:rsidR="00B07AA9" w:rsidRPr="00533550">
        <w:rPr>
          <w:szCs w:val="24"/>
        </w:rPr>
        <w:t>, which allows teachers to monitor their students’ activities and progress, has positively impacted the CSAs’ efforts to improve the literacy skills of their students</w:t>
      </w:r>
      <w:r w:rsidR="008473E1" w:rsidRPr="00533550">
        <w:rPr>
          <w:szCs w:val="24"/>
        </w:rPr>
        <w:t xml:space="preserve">.  </w:t>
      </w:r>
    </w:p>
    <w:p w14:paraId="40C05939" w14:textId="77777777" w:rsidR="00030C04" w:rsidRPr="00533550" w:rsidRDefault="008473E1" w:rsidP="000A2EAF">
      <w:pPr>
        <w:pStyle w:val="BodyText"/>
        <w:spacing w:after="120"/>
        <w:rPr>
          <w:szCs w:val="24"/>
        </w:rPr>
      </w:pPr>
      <w:r w:rsidRPr="00533550">
        <w:rPr>
          <w:szCs w:val="24"/>
        </w:rPr>
        <w:t xml:space="preserve">PLATO, a standards-based online learning program offered by Edmentum, </w:t>
      </w:r>
      <w:r w:rsidR="00BB39F9" w:rsidRPr="00533550">
        <w:rPr>
          <w:szCs w:val="24"/>
        </w:rPr>
        <w:t>also allows students to improve their academic skills in reading, writing, and math.  PLATO provides learning modules t</w:t>
      </w:r>
      <w:r w:rsidR="007C7BCC" w:rsidRPr="00533550">
        <w:rPr>
          <w:szCs w:val="24"/>
        </w:rPr>
        <w:t xml:space="preserve">o help students prepare for high school equivalency </w:t>
      </w:r>
      <w:r w:rsidR="00BB39F9" w:rsidRPr="00533550">
        <w:rPr>
          <w:szCs w:val="24"/>
        </w:rPr>
        <w:t>test</w:t>
      </w:r>
      <w:r w:rsidR="007C7BCC" w:rsidRPr="00533550">
        <w:rPr>
          <w:szCs w:val="24"/>
        </w:rPr>
        <w:t>s</w:t>
      </w:r>
      <w:r w:rsidR="00BB39F9" w:rsidRPr="00533550">
        <w:rPr>
          <w:szCs w:val="24"/>
        </w:rPr>
        <w:t xml:space="preserve">, college entrance exams, and the ASVAB.  In addition to supplementing classroom instruction, PLATO gives the CSAs the capacity to offer distance-learning options to their students.  For </w:t>
      </w:r>
      <w:r w:rsidR="007C7BCC" w:rsidRPr="00533550">
        <w:rPr>
          <w:szCs w:val="24"/>
        </w:rPr>
        <w:t>High School Equivalency P</w:t>
      </w:r>
      <w:r w:rsidR="00BB39F9" w:rsidRPr="00533550">
        <w:rPr>
          <w:szCs w:val="24"/>
        </w:rPr>
        <w:t xml:space="preserve">reparation courses, students are required to complete a minimum of 60 hours for course credit.  The PLATO instructors monitor the students’ completion of the assigned </w:t>
      </w:r>
      <w:r w:rsidR="00556AAA" w:rsidRPr="00533550">
        <w:rPr>
          <w:szCs w:val="24"/>
        </w:rPr>
        <w:t xml:space="preserve">modules and assessment scores.  </w:t>
      </w:r>
      <w:r w:rsidR="00BB71CA" w:rsidRPr="00533550">
        <w:rPr>
          <w:szCs w:val="24"/>
        </w:rPr>
        <w:t>ETS, GED Testing Service, and Essential Education resources are also used to help students prepare for the high school equivalency test</w:t>
      </w:r>
      <w:r w:rsidR="007C7BCC" w:rsidRPr="00533550">
        <w:rPr>
          <w:szCs w:val="24"/>
        </w:rPr>
        <w:t>s</w:t>
      </w:r>
      <w:r w:rsidR="00BB71CA" w:rsidRPr="00533550">
        <w:rPr>
          <w:szCs w:val="24"/>
        </w:rPr>
        <w:t xml:space="preserve">.  </w:t>
      </w:r>
    </w:p>
    <w:p w14:paraId="2E2BA791" w14:textId="77777777" w:rsidR="004A5CD4" w:rsidRPr="00533550" w:rsidRDefault="00B07AA9" w:rsidP="000A2EAF">
      <w:pPr>
        <w:pStyle w:val="BodyText"/>
        <w:spacing w:after="120"/>
        <w:rPr>
          <w:szCs w:val="24"/>
        </w:rPr>
      </w:pPr>
      <w:r w:rsidRPr="00533550">
        <w:rPr>
          <w:szCs w:val="24"/>
        </w:rPr>
        <w:t xml:space="preserve">The CSAs also utilize computer-based and web-based programs to provide targeted instruction specifically for ABE and IELCE.  </w:t>
      </w:r>
      <w:r w:rsidR="006A3B3E" w:rsidRPr="00533550">
        <w:rPr>
          <w:szCs w:val="24"/>
        </w:rPr>
        <w:t xml:space="preserve">The CSAs utilize </w:t>
      </w:r>
      <w:r w:rsidR="006A3B3E" w:rsidRPr="00533550">
        <w:rPr>
          <w:i/>
          <w:szCs w:val="24"/>
        </w:rPr>
        <w:t>Instruction Targeted for TABE Success</w:t>
      </w:r>
      <w:r w:rsidR="006A3B3E" w:rsidRPr="00533550">
        <w:rPr>
          <w:szCs w:val="24"/>
        </w:rPr>
        <w:t>, an adaptive web-based program which delivers targeted instruction in mat</w:t>
      </w:r>
      <w:r w:rsidR="00030C04" w:rsidRPr="00533550">
        <w:rPr>
          <w:szCs w:val="24"/>
        </w:rPr>
        <w:t xml:space="preserve">h, reading, and writing, in certain ABE </w:t>
      </w:r>
      <w:r w:rsidR="006A3B3E" w:rsidRPr="00533550">
        <w:rPr>
          <w:szCs w:val="24"/>
        </w:rPr>
        <w:t>program</w:t>
      </w:r>
      <w:r w:rsidR="00030C04" w:rsidRPr="00533550">
        <w:rPr>
          <w:szCs w:val="24"/>
        </w:rPr>
        <w:t>s</w:t>
      </w:r>
      <w:r w:rsidR="006A3B3E" w:rsidRPr="00533550">
        <w:rPr>
          <w:szCs w:val="24"/>
        </w:rPr>
        <w:t xml:space="preserve">.  </w:t>
      </w:r>
      <w:r w:rsidR="00BB39F9" w:rsidRPr="00533550">
        <w:rPr>
          <w:szCs w:val="24"/>
        </w:rPr>
        <w:t xml:space="preserve">McKinley CSA, which has the largest </w:t>
      </w:r>
      <w:r w:rsidR="001842E1">
        <w:rPr>
          <w:szCs w:val="24"/>
        </w:rPr>
        <w:t xml:space="preserve">IELCE </w:t>
      </w:r>
      <w:r w:rsidR="00BB39F9" w:rsidRPr="00533550">
        <w:rPr>
          <w:szCs w:val="24"/>
        </w:rPr>
        <w:t>student population</w:t>
      </w:r>
      <w:r w:rsidR="00DA488F" w:rsidRPr="00533550">
        <w:rPr>
          <w:szCs w:val="24"/>
        </w:rPr>
        <w:t>,</w:t>
      </w:r>
      <w:r w:rsidR="00BB39F9" w:rsidRPr="00533550">
        <w:rPr>
          <w:szCs w:val="24"/>
        </w:rPr>
        <w:t xml:space="preserve"> uses Rosetta Stone to supplement its instruction.  Rosetta Stone is a computer-based program that provides activities for students to practice </w:t>
      </w:r>
      <w:r w:rsidR="00912F65" w:rsidRPr="00533550">
        <w:rPr>
          <w:szCs w:val="24"/>
        </w:rPr>
        <w:t>their English language skills.</w:t>
      </w:r>
      <w:r w:rsidR="008A4C09">
        <w:rPr>
          <w:szCs w:val="24"/>
        </w:rPr>
        <w:t xml:space="preserve">  In PY 2016-17</w:t>
      </w:r>
      <w:r w:rsidR="007C7BCC" w:rsidRPr="00533550">
        <w:rPr>
          <w:szCs w:val="24"/>
        </w:rPr>
        <w:t xml:space="preserve">, the CSAs </w:t>
      </w:r>
      <w:r w:rsidR="00385A83">
        <w:rPr>
          <w:szCs w:val="24"/>
        </w:rPr>
        <w:t>continued to implement</w:t>
      </w:r>
      <w:r w:rsidR="007C7BCC" w:rsidRPr="00533550">
        <w:rPr>
          <w:szCs w:val="24"/>
        </w:rPr>
        <w:t xml:space="preserve"> the use of </w:t>
      </w:r>
      <w:r w:rsidR="007C7BCC" w:rsidRPr="00533550">
        <w:rPr>
          <w:i/>
          <w:szCs w:val="24"/>
        </w:rPr>
        <w:t>BurlingtonEnglish</w:t>
      </w:r>
      <w:r w:rsidR="007C7BCC" w:rsidRPr="00533550">
        <w:rPr>
          <w:szCs w:val="24"/>
        </w:rPr>
        <w:t xml:space="preserve">, an online interactive English </w:t>
      </w:r>
      <w:r w:rsidR="00030C04" w:rsidRPr="00533550">
        <w:rPr>
          <w:szCs w:val="24"/>
        </w:rPr>
        <w:t xml:space="preserve">language </w:t>
      </w:r>
      <w:r w:rsidR="007C7BCC" w:rsidRPr="00533550">
        <w:rPr>
          <w:szCs w:val="24"/>
        </w:rPr>
        <w:t>acquisition program that offers a blended learning experience to students</w:t>
      </w:r>
      <w:r w:rsidR="00D74FF7" w:rsidRPr="00533550">
        <w:rPr>
          <w:szCs w:val="24"/>
        </w:rPr>
        <w:t>,</w:t>
      </w:r>
      <w:r w:rsidR="007C7BCC" w:rsidRPr="00533550">
        <w:rPr>
          <w:szCs w:val="24"/>
        </w:rPr>
        <w:t xml:space="preserve"> combining face-to-face classroom activities with online interactive lessons, in </w:t>
      </w:r>
      <w:r w:rsidR="00912F65" w:rsidRPr="00533550">
        <w:rPr>
          <w:szCs w:val="24"/>
        </w:rPr>
        <w:t>IELCE</w:t>
      </w:r>
      <w:r w:rsidR="007C7BCC" w:rsidRPr="00533550">
        <w:rPr>
          <w:szCs w:val="24"/>
        </w:rPr>
        <w:t xml:space="preserve"> as well as in ABE courses.  </w:t>
      </w:r>
      <w:r w:rsidR="00912F65" w:rsidRPr="00533550">
        <w:rPr>
          <w:szCs w:val="24"/>
        </w:rPr>
        <w:t>Not only does the use of technology help students to improve their literacy and academic skills, but it also helps to improve their basic computer skills, which is important in an age where computers play a major role in many</w:t>
      </w:r>
      <w:r w:rsidR="00D74FF7" w:rsidRPr="00533550">
        <w:rPr>
          <w:szCs w:val="24"/>
        </w:rPr>
        <w:t xml:space="preserve"> occupations as well as in post</w:t>
      </w:r>
      <w:r w:rsidR="00912F65" w:rsidRPr="00533550">
        <w:rPr>
          <w:szCs w:val="24"/>
        </w:rPr>
        <w:t>secondary education.</w:t>
      </w:r>
      <w:r w:rsidR="004A5CD4" w:rsidRPr="00533550">
        <w:rPr>
          <w:szCs w:val="24"/>
        </w:rPr>
        <w:t xml:space="preserve">  </w:t>
      </w:r>
    </w:p>
    <w:p w14:paraId="5BC82091" w14:textId="77777777" w:rsidR="00CD02BF" w:rsidRPr="00533550" w:rsidRDefault="00542AF5" w:rsidP="000A2EAF">
      <w:pPr>
        <w:pStyle w:val="BodyText"/>
        <w:spacing w:after="120"/>
        <w:rPr>
          <w:szCs w:val="24"/>
        </w:rPr>
      </w:pPr>
      <w:r w:rsidRPr="00533550">
        <w:rPr>
          <w:szCs w:val="24"/>
        </w:rPr>
        <w:t>T</w:t>
      </w:r>
      <w:r w:rsidR="00757B9D" w:rsidRPr="00533550">
        <w:rPr>
          <w:szCs w:val="24"/>
        </w:rPr>
        <w:t xml:space="preserve">he CSAs </w:t>
      </w:r>
      <w:r w:rsidR="00DC1B81" w:rsidRPr="00533550">
        <w:rPr>
          <w:szCs w:val="24"/>
        </w:rPr>
        <w:t>continued to implement and refine</w:t>
      </w:r>
      <w:r w:rsidR="00757B9D" w:rsidRPr="00533550">
        <w:rPr>
          <w:szCs w:val="24"/>
        </w:rPr>
        <w:t xml:space="preserve"> the iCAN (Individualized Career Achievement Network) </w:t>
      </w:r>
      <w:r w:rsidR="006F0FB7" w:rsidRPr="00533550">
        <w:rPr>
          <w:szCs w:val="24"/>
        </w:rPr>
        <w:t xml:space="preserve">Career Skills </w:t>
      </w:r>
      <w:r w:rsidR="00757B9D" w:rsidRPr="00533550">
        <w:rPr>
          <w:szCs w:val="24"/>
        </w:rPr>
        <w:t xml:space="preserve">Program in PY </w:t>
      </w:r>
      <w:r w:rsidR="008A4C09">
        <w:rPr>
          <w:szCs w:val="24"/>
        </w:rPr>
        <w:t>2016-17</w:t>
      </w:r>
      <w:r w:rsidR="00757B9D" w:rsidRPr="00533550">
        <w:rPr>
          <w:szCs w:val="24"/>
        </w:rPr>
        <w:t>.</w:t>
      </w:r>
      <w:r w:rsidR="006F0FB7" w:rsidRPr="00533550">
        <w:rPr>
          <w:szCs w:val="24"/>
        </w:rPr>
        <w:t xml:space="preserve">  </w:t>
      </w:r>
      <w:r w:rsidR="00762A0E" w:rsidRPr="00533550">
        <w:rPr>
          <w:szCs w:val="24"/>
        </w:rPr>
        <w:t xml:space="preserve">This program is designed to prepare students for success in post-secondary education and in any career field, particularly in the six career pathways of the State of Hawaii – Health Services; Arts and Communication; Business, </w:t>
      </w:r>
      <w:r w:rsidR="00762A0E" w:rsidRPr="00533550">
        <w:rPr>
          <w:szCs w:val="24"/>
        </w:rPr>
        <w:lastRenderedPageBreak/>
        <w:t>Industrial and Engineering Technology; Natural Resources; and Public and Human Services.  Students enrolled in the iCAN program not only obtain the basic academic skills needed to be gainfully employed, but also obtain background knowledge on the career field of interest.  To better support stud</w:t>
      </w:r>
      <w:r w:rsidR="00864970" w:rsidRPr="00533550">
        <w:rPr>
          <w:szCs w:val="24"/>
        </w:rPr>
        <w:t>ents in becoming career-ready, t</w:t>
      </w:r>
      <w:r w:rsidR="00DC1B81" w:rsidRPr="00533550">
        <w:rPr>
          <w:szCs w:val="24"/>
        </w:rPr>
        <w:t xml:space="preserve">he </w:t>
      </w:r>
      <w:r w:rsidR="00762A0E" w:rsidRPr="00533550">
        <w:rPr>
          <w:szCs w:val="24"/>
        </w:rPr>
        <w:t>CSA</w:t>
      </w:r>
      <w:r w:rsidR="00DC1B81" w:rsidRPr="00533550">
        <w:rPr>
          <w:szCs w:val="24"/>
        </w:rPr>
        <w:t>s</w:t>
      </w:r>
      <w:r w:rsidR="00762A0E" w:rsidRPr="00533550">
        <w:rPr>
          <w:szCs w:val="24"/>
        </w:rPr>
        <w:t xml:space="preserve"> will offer students the opportunity to earn a National Career Readiness Certificate (NCRC) or a National Work Readiness Credential, industry-recognized credentials certifying that the student has the essential skills to be successful in the workplace.</w:t>
      </w:r>
      <w:r w:rsidR="0038388A" w:rsidRPr="00533550">
        <w:rPr>
          <w:szCs w:val="24"/>
        </w:rPr>
        <w:t xml:space="preserve">  </w:t>
      </w:r>
    </w:p>
    <w:p w14:paraId="67CAF8A5" w14:textId="77777777" w:rsidR="00387178" w:rsidRDefault="00CD02BF" w:rsidP="00813ADD">
      <w:pPr>
        <w:pStyle w:val="BodyText"/>
        <w:spacing w:after="120"/>
        <w:rPr>
          <w:szCs w:val="24"/>
        </w:rPr>
      </w:pPr>
      <w:r w:rsidRPr="00533550">
        <w:rPr>
          <w:szCs w:val="24"/>
        </w:rPr>
        <w:t xml:space="preserve">Upon registering for the iCAN program, students are given an orientation of the program, learning about the objectives of the program, student expectations, and student outcomes.  All students develop a Personalized Transition Plan outlining their goals – postsecondary education and/or career, which determine the students’ program track.  The program tracks allow the CSAs to provide students with targeted supports and curricula, ensuring students are better prepared to achieve their goals.  While each program track offers different curricular components, all program curricula selected align with the College and Career Readiness Standards.  </w:t>
      </w:r>
    </w:p>
    <w:p w14:paraId="2796520A" w14:textId="1A7F04C0" w:rsidR="00CD02BF" w:rsidRPr="00533550" w:rsidRDefault="00387178" w:rsidP="00813ADD">
      <w:pPr>
        <w:pStyle w:val="BodyText"/>
        <w:spacing w:after="120"/>
        <w:rPr>
          <w:szCs w:val="24"/>
        </w:rPr>
      </w:pPr>
      <w:r>
        <w:rPr>
          <w:szCs w:val="24"/>
        </w:rPr>
        <w:t>The Hawaii CSAs have made a stronger effort to build and strengthen community partnerships</w:t>
      </w:r>
      <w:r w:rsidR="00595ECA">
        <w:rPr>
          <w:szCs w:val="24"/>
        </w:rPr>
        <w:t xml:space="preserve"> to better serve students.  They have partnered with labor unions, non-profit organizations, and government agencies</w:t>
      </w:r>
      <w:r>
        <w:rPr>
          <w:szCs w:val="24"/>
        </w:rPr>
        <w:t xml:space="preserve"> to </w:t>
      </w:r>
      <w:r w:rsidR="008D7DA9">
        <w:rPr>
          <w:szCs w:val="24"/>
        </w:rPr>
        <w:t xml:space="preserve">better align their education and literacy activities with the skills needed </w:t>
      </w:r>
      <w:r w:rsidR="00595ECA">
        <w:rPr>
          <w:szCs w:val="24"/>
        </w:rPr>
        <w:t xml:space="preserve">for students </w:t>
      </w:r>
      <w:r w:rsidR="008D7DA9">
        <w:rPr>
          <w:szCs w:val="24"/>
        </w:rPr>
        <w:t xml:space="preserve">to succeed </w:t>
      </w:r>
      <w:r w:rsidR="00595ECA">
        <w:rPr>
          <w:szCs w:val="24"/>
        </w:rPr>
        <w:t xml:space="preserve">in </w:t>
      </w:r>
      <w:r w:rsidR="008D7DA9">
        <w:rPr>
          <w:szCs w:val="24"/>
        </w:rPr>
        <w:t>the workforce</w:t>
      </w:r>
      <w:r w:rsidR="00595ECA">
        <w:rPr>
          <w:szCs w:val="24"/>
        </w:rPr>
        <w:t xml:space="preserve">.  The CSAs have also coordinated career days, college and career nights, college visits, and access to college resources to provide students with insight on the opportunities available to them after graduation.  </w:t>
      </w:r>
    </w:p>
    <w:p w14:paraId="4CD60AAC" w14:textId="77777777" w:rsidR="00813ADD" w:rsidRPr="00533550" w:rsidRDefault="00813ADD" w:rsidP="00CD02BF">
      <w:pPr>
        <w:pStyle w:val="BodyText"/>
        <w:rPr>
          <w:rFonts w:eastAsia="Arial Unicode MS"/>
          <w:szCs w:val="24"/>
        </w:rPr>
      </w:pPr>
      <w:r w:rsidRPr="00533550">
        <w:rPr>
          <w:rFonts w:eastAsia="Arial Unicode MS"/>
          <w:szCs w:val="24"/>
        </w:rPr>
        <w:t xml:space="preserve">Despite the challenges the Hawaii CSAs have encountered with the changes surrounding adult education at the federal and state level, they </w:t>
      </w:r>
      <w:r w:rsidR="00CF02F5">
        <w:rPr>
          <w:rFonts w:eastAsia="Arial Unicode MS"/>
          <w:szCs w:val="24"/>
        </w:rPr>
        <w:t>continue to show</w:t>
      </w:r>
      <w:r w:rsidRPr="00533550">
        <w:rPr>
          <w:rFonts w:eastAsia="Arial Unicode MS"/>
          <w:szCs w:val="24"/>
        </w:rPr>
        <w:t xml:space="preserve"> signs of improvement in their curriculum and instruction, in student achievement, and in the strength of their community partnerships.  This will continue to be beneficial for their students and the communities they serve.</w:t>
      </w:r>
    </w:p>
    <w:p w14:paraId="4A64356F" w14:textId="77777777" w:rsidR="00A31C68" w:rsidRPr="00533550" w:rsidRDefault="00A31C68" w:rsidP="00A31C68">
      <w:pPr>
        <w:pStyle w:val="BodyText"/>
        <w:rPr>
          <w:szCs w:val="24"/>
        </w:rPr>
      </w:pPr>
    </w:p>
    <w:p w14:paraId="0162D213" w14:textId="77777777" w:rsidR="00A82F21" w:rsidRPr="00533550" w:rsidRDefault="00A82F21" w:rsidP="00A82F21">
      <w:pPr>
        <w:autoSpaceDE w:val="0"/>
        <w:autoSpaceDN w:val="0"/>
        <w:adjustRightInd w:val="0"/>
        <w:spacing w:after="120" w:line="240" w:lineRule="auto"/>
        <w:rPr>
          <w:rFonts w:ascii="Times New Roman" w:hAnsi="Times New Roman"/>
          <w:b/>
          <w:bCs/>
          <w:sz w:val="24"/>
          <w:szCs w:val="24"/>
        </w:rPr>
      </w:pPr>
      <w:r w:rsidRPr="00533550">
        <w:rPr>
          <w:rFonts w:ascii="Times New Roman" w:hAnsi="Times New Roman"/>
          <w:b/>
          <w:bCs/>
          <w:sz w:val="24"/>
          <w:szCs w:val="24"/>
        </w:rPr>
        <w:t>2. Performance Data Analysis</w:t>
      </w:r>
    </w:p>
    <w:p w14:paraId="4721C1D9" w14:textId="77777777" w:rsidR="004D1D86" w:rsidRPr="00533550" w:rsidRDefault="00A82F21" w:rsidP="00A82F21">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75167C58" w14:textId="77777777" w:rsidR="004D1D86" w:rsidRPr="00533550" w:rsidRDefault="004D1D86" w:rsidP="00AA468A">
      <w:pPr>
        <w:pStyle w:val="BodyText"/>
        <w:rPr>
          <w:szCs w:val="24"/>
        </w:rPr>
      </w:pPr>
    </w:p>
    <w:p w14:paraId="7AAD3174" w14:textId="77777777" w:rsidR="00B42BFF" w:rsidRPr="00533550" w:rsidRDefault="00AA468A" w:rsidP="000A2EAF">
      <w:pPr>
        <w:pStyle w:val="BodyText"/>
        <w:spacing w:after="120"/>
        <w:rPr>
          <w:szCs w:val="24"/>
        </w:rPr>
      </w:pPr>
      <w:r w:rsidRPr="00533550">
        <w:rPr>
          <w:szCs w:val="24"/>
        </w:rPr>
        <w:t xml:space="preserve">In PY </w:t>
      </w:r>
      <w:r w:rsidR="008A4C09">
        <w:rPr>
          <w:szCs w:val="24"/>
        </w:rPr>
        <w:t>2016-17</w:t>
      </w:r>
      <w:r w:rsidRPr="00533550">
        <w:rPr>
          <w:szCs w:val="24"/>
        </w:rPr>
        <w:t xml:space="preserve">, </w:t>
      </w:r>
      <w:r w:rsidR="002C0A5B" w:rsidRPr="00533550">
        <w:rPr>
          <w:szCs w:val="24"/>
        </w:rPr>
        <w:t>the</w:t>
      </w:r>
      <w:r w:rsidRPr="00533550">
        <w:rPr>
          <w:szCs w:val="24"/>
        </w:rPr>
        <w:t xml:space="preserve"> CSAs serviced </w:t>
      </w:r>
      <w:r w:rsidR="00C47D82">
        <w:rPr>
          <w:szCs w:val="24"/>
        </w:rPr>
        <w:t>5,315</w:t>
      </w:r>
      <w:r w:rsidRPr="00533550">
        <w:rPr>
          <w:szCs w:val="24"/>
        </w:rPr>
        <w:t xml:space="preserve"> NRS students in their ABE, ASE, and</w:t>
      </w:r>
      <w:r w:rsidR="00864970" w:rsidRPr="00533550">
        <w:rPr>
          <w:szCs w:val="24"/>
        </w:rPr>
        <w:t xml:space="preserve"> </w:t>
      </w:r>
      <w:r w:rsidR="00C47D82">
        <w:rPr>
          <w:szCs w:val="24"/>
        </w:rPr>
        <w:t>IELCE</w:t>
      </w:r>
      <w:r w:rsidRPr="00533550">
        <w:rPr>
          <w:szCs w:val="24"/>
        </w:rPr>
        <w:t xml:space="preserve"> programs.</w:t>
      </w:r>
      <w:r w:rsidR="002C0A5B" w:rsidRPr="00533550">
        <w:rPr>
          <w:szCs w:val="24"/>
        </w:rPr>
        <w:t xml:space="preserve">  </w:t>
      </w:r>
      <w:r w:rsidR="00B67226" w:rsidRPr="00533550">
        <w:rPr>
          <w:szCs w:val="24"/>
        </w:rPr>
        <w:t>Enrollment remains considerably lower than what it was prior to the co</w:t>
      </w:r>
      <w:r w:rsidR="009C5621" w:rsidRPr="00533550">
        <w:rPr>
          <w:szCs w:val="24"/>
        </w:rPr>
        <w:t>nsolidation of CSAs from eleven</w:t>
      </w:r>
      <w:r w:rsidR="002C7337" w:rsidRPr="00533550">
        <w:rPr>
          <w:szCs w:val="24"/>
        </w:rPr>
        <w:t xml:space="preserve"> schools to two in PY 2012-13; however, the CSAs continue their e</w:t>
      </w:r>
      <w:r w:rsidR="00C03399" w:rsidRPr="00533550">
        <w:rPr>
          <w:szCs w:val="24"/>
        </w:rPr>
        <w:t xml:space="preserve">fforts to increase enrollment and increase student retention.  A strategy that </w:t>
      </w:r>
      <w:r w:rsidR="00C47D82">
        <w:rPr>
          <w:szCs w:val="24"/>
        </w:rPr>
        <w:t>continued to be utilized</w:t>
      </w:r>
      <w:r w:rsidR="00C03399" w:rsidRPr="00533550">
        <w:rPr>
          <w:szCs w:val="24"/>
        </w:rPr>
        <w:t xml:space="preserve"> during PY </w:t>
      </w:r>
      <w:r w:rsidR="008A4C09">
        <w:rPr>
          <w:szCs w:val="24"/>
        </w:rPr>
        <w:t>2016-17</w:t>
      </w:r>
      <w:r w:rsidR="00C03399" w:rsidRPr="00533550">
        <w:rPr>
          <w:szCs w:val="24"/>
        </w:rPr>
        <w:t xml:space="preserve"> was the Personal Transition Plan.  This helped students to set goals w</w:t>
      </w:r>
      <w:r w:rsidR="00373A6F" w:rsidRPr="00533550">
        <w:rPr>
          <w:szCs w:val="24"/>
        </w:rPr>
        <w:t>hich they could</w:t>
      </w:r>
      <w:r w:rsidR="00C03399" w:rsidRPr="00533550">
        <w:rPr>
          <w:szCs w:val="24"/>
        </w:rPr>
        <w:t xml:space="preserve"> work towards and gave teachers and counselors a tool to facilitate the discussion on </w:t>
      </w:r>
      <w:r w:rsidR="00B42BFF" w:rsidRPr="00533550">
        <w:rPr>
          <w:szCs w:val="24"/>
        </w:rPr>
        <w:t xml:space="preserve">program goals and </w:t>
      </w:r>
      <w:r w:rsidR="00C03399" w:rsidRPr="00533550">
        <w:rPr>
          <w:szCs w:val="24"/>
        </w:rPr>
        <w:t xml:space="preserve">postsecondary plans with their students.  </w:t>
      </w:r>
      <w:r w:rsidR="00C47D82">
        <w:rPr>
          <w:szCs w:val="24"/>
        </w:rPr>
        <w:t>In addition to the teachers and counselors, t</w:t>
      </w:r>
      <w:r w:rsidR="00C03399" w:rsidRPr="00533550">
        <w:rPr>
          <w:szCs w:val="24"/>
        </w:rPr>
        <w:t>he CSAs</w:t>
      </w:r>
      <w:r w:rsidR="00C47D82">
        <w:rPr>
          <w:szCs w:val="24"/>
        </w:rPr>
        <w:t xml:space="preserve">’ </w:t>
      </w:r>
      <w:r w:rsidR="00B42BFF" w:rsidRPr="00533550">
        <w:rPr>
          <w:szCs w:val="24"/>
        </w:rPr>
        <w:t>transition coordinators</w:t>
      </w:r>
      <w:r w:rsidR="00C03399" w:rsidRPr="00533550">
        <w:rPr>
          <w:szCs w:val="24"/>
        </w:rPr>
        <w:t xml:space="preserve"> </w:t>
      </w:r>
      <w:r w:rsidR="00C47D82">
        <w:rPr>
          <w:szCs w:val="24"/>
        </w:rPr>
        <w:t>also continued to</w:t>
      </w:r>
      <w:r w:rsidR="00C03399" w:rsidRPr="00533550">
        <w:rPr>
          <w:szCs w:val="24"/>
        </w:rPr>
        <w:t xml:space="preserve"> support students in meeting their </w:t>
      </w:r>
      <w:r w:rsidR="00B42BFF" w:rsidRPr="00533550">
        <w:rPr>
          <w:szCs w:val="24"/>
        </w:rPr>
        <w:t xml:space="preserve">postsecondary goals.  </w:t>
      </w:r>
    </w:p>
    <w:p w14:paraId="614F2826" w14:textId="4A990B51" w:rsidR="00AB3460" w:rsidRPr="00533550" w:rsidRDefault="00E968B4" w:rsidP="000A2EAF">
      <w:pPr>
        <w:pStyle w:val="BodyText"/>
        <w:spacing w:after="120"/>
        <w:rPr>
          <w:szCs w:val="24"/>
        </w:rPr>
      </w:pPr>
      <w:r w:rsidRPr="00533550">
        <w:rPr>
          <w:szCs w:val="24"/>
        </w:rPr>
        <w:t>Collectively, the</w:t>
      </w:r>
      <w:r w:rsidR="002E4857" w:rsidRPr="00533550">
        <w:rPr>
          <w:szCs w:val="24"/>
        </w:rPr>
        <w:t xml:space="preserve"> CSAs </w:t>
      </w:r>
      <w:r w:rsidR="00C47D82">
        <w:rPr>
          <w:szCs w:val="24"/>
        </w:rPr>
        <w:t>made substantial improvement</w:t>
      </w:r>
      <w:r w:rsidRPr="00533550">
        <w:rPr>
          <w:szCs w:val="24"/>
        </w:rPr>
        <w:t xml:space="preserve"> in meeting the </w:t>
      </w:r>
      <w:r w:rsidR="00570A6C" w:rsidRPr="00533550">
        <w:rPr>
          <w:szCs w:val="24"/>
        </w:rPr>
        <w:t>State Target Performance Levels</w:t>
      </w:r>
      <w:r w:rsidR="00DD232D" w:rsidRPr="00533550">
        <w:rPr>
          <w:szCs w:val="24"/>
        </w:rPr>
        <w:t xml:space="preserve"> for PY </w:t>
      </w:r>
      <w:r w:rsidR="008A4C09">
        <w:rPr>
          <w:szCs w:val="24"/>
        </w:rPr>
        <w:t>2016-17</w:t>
      </w:r>
      <w:r w:rsidRPr="00533550">
        <w:rPr>
          <w:szCs w:val="24"/>
        </w:rPr>
        <w:t xml:space="preserve">, </w:t>
      </w:r>
      <w:r w:rsidR="002E4857" w:rsidRPr="00533550">
        <w:rPr>
          <w:szCs w:val="24"/>
        </w:rPr>
        <w:t>me</w:t>
      </w:r>
      <w:r w:rsidRPr="00533550">
        <w:rPr>
          <w:szCs w:val="24"/>
        </w:rPr>
        <w:t>e</w:t>
      </w:r>
      <w:r w:rsidR="002E4857" w:rsidRPr="00533550">
        <w:rPr>
          <w:szCs w:val="24"/>
        </w:rPr>
        <w:t>t</w:t>
      </w:r>
      <w:r w:rsidRPr="00533550">
        <w:rPr>
          <w:szCs w:val="24"/>
        </w:rPr>
        <w:t>ing</w:t>
      </w:r>
      <w:r w:rsidR="002E4857" w:rsidRPr="00533550">
        <w:rPr>
          <w:szCs w:val="24"/>
        </w:rPr>
        <w:t xml:space="preserve"> </w:t>
      </w:r>
      <w:r w:rsidR="00C47D82" w:rsidRPr="00E962FA">
        <w:rPr>
          <w:szCs w:val="24"/>
        </w:rPr>
        <w:t>five</w:t>
      </w:r>
      <w:r w:rsidR="002E4857" w:rsidRPr="00E962FA">
        <w:rPr>
          <w:szCs w:val="24"/>
        </w:rPr>
        <w:t xml:space="preserve"> of the </w:t>
      </w:r>
      <w:r w:rsidR="00C47D82" w:rsidRPr="00E962FA">
        <w:rPr>
          <w:szCs w:val="24"/>
        </w:rPr>
        <w:t>twelve</w:t>
      </w:r>
      <w:r w:rsidR="00570A6C" w:rsidRPr="00E962FA">
        <w:rPr>
          <w:szCs w:val="24"/>
        </w:rPr>
        <w:t xml:space="preserve"> benchmarks</w:t>
      </w:r>
      <w:r w:rsidR="00B5510E">
        <w:rPr>
          <w:szCs w:val="24"/>
        </w:rPr>
        <w:t xml:space="preserve"> – four for adult basic education and one for English language acquisition.  When compared to their performance in PY 2015-16, </w:t>
      </w:r>
      <w:r w:rsidR="00B5510E">
        <w:rPr>
          <w:szCs w:val="24"/>
        </w:rPr>
        <w:lastRenderedPageBreak/>
        <w:t>the CSAs improved in all but one level.</w:t>
      </w:r>
      <w:r w:rsidR="00B42BFF" w:rsidRPr="00533550">
        <w:rPr>
          <w:szCs w:val="24"/>
        </w:rPr>
        <w:t xml:space="preserve"> </w:t>
      </w:r>
      <w:r w:rsidR="00B5510E">
        <w:rPr>
          <w:szCs w:val="24"/>
        </w:rPr>
        <w:t xml:space="preserve"> </w:t>
      </w:r>
      <w:r w:rsidR="009C5621" w:rsidRPr="00533550">
        <w:rPr>
          <w:szCs w:val="24"/>
        </w:rPr>
        <w:t xml:space="preserve">Individually, some campuses </w:t>
      </w:r>
      <w:r w:rsidR="00BA7D07" w:rsidRPr="00533550">
        <w:rPr>
          <w:szCs w:val="24"/>
        </w:rPr>
        <w:t>performed</w:t>
      </w:r>
      <w:r w:rsidR="009C5621" w:rsidRPr="00533550">
        <w:rPr>
          <w:szCs w:val="24"/>
        </w:rPr>
        <w:t xml:space="preserve"> better</w:t>
      </w:r>
      <w:r w:rsidR="007A7B26" w:rsidRPr="00533550">
        <w:rPr>
          <w:szCs w:val="24"/>
        </w:rPr>
        <w:t xml:space="preserve"> in meeting the state benchmarks</w:t>
      </w:r>
      <w:r w:rsidR="00BA7D07" w:rsidRPr="00533550">
        <w:rPr>
          <w:szCs w:val="24"/>
        </w:rPr>
        <w:t xml:space="preserve">:  </w:t>
      </w:r>
      <w:r w:rsidR="00324805">
        <w:rPr>
          <w:szCs w:val="24"/>
        </w:rPr>
        <w:t xml:space="preserve">Waipahu CSA’s Waipahu Campus met seven benchmarks, </w:t>
      </w:r>
      <w:r w:rsidR="009C5621" w:rsidRPr="00533550">
        <w:rPr>
          <w:szCs w:val="24"/>
        </w:rPr>
        <w:t>Waipahu CSA’s Windward Campus</w:t>
      </w:r>
      <w:r w:rsidR="00117789" w:rsidRPr="00533550">
        <w:rPr>
          <w:szCs w:val="24"/>
        </w:rPr>
        <w:t xml:space="preserve"> </w:t>
      </w:r>
      <w:r w:rsidR="00493CE8" w:rsidRPr="00533550">
        <w:rPr>
          <w:szCs w:val="24"/>
        </w:rPr>
        <w:t xml:space="preserve">met </w:t>
      </w:r>
      <w:r w:rsidR="00CD1B40" w:rsidRPr="00533550">
        <w:rPr>
          <w:szCs w:val="24"/>
        </w:rPr>
        <w:t>six</w:t>
      </w:r>
      <w:r w:rsidR="00493CE8" w:rsidRPr="00533550">
        <w:rPr>
          <w:szCs w:val="24"/>
        </w:rPr>
        <w:t xml:space="preserve"> benchmarks</w:t>
      </w:r>
      <w:r w:rsidR="00324805">
        <w:rPr>
          <w:szCs w:val="24"/>
        </w:rPr>
        <w:t xml:space="preserve">, </w:t>
      </w:r>
      <w:r w:rsidR="00CD1B40" w:rsidRPr="00533550">
        <w:rPr>
          <w:szCs w:val="24"/>
        </w:rPr>
        <w:t xml:space="preserve">Waipahu CSA’s </w:t>
      </w:r>
      <w:r w:rsidR="00324805">
        <w:rPr>
          <w:szCs w:val="24"/>
        </w:rPr>
        <w:t>Hilo Campus</w:t>
      </w:r>
      <w:r w:rsidR="009C5621" w:rsidRPr="00533550">
        <w:rPr>
          <w:szCs w:val="24"/>
        </w:rPr>
        <w:t xml:space="preserve"> met </w:t>
      </w:r>
      <w:r w:rsidR="00CD1B40" w:rsidRPr="00533550">
        <w:rPr>
          <w:szCs w:val="24"/>
        </w:rPr>
        <w:t>five benchmarks</w:t>
      </w:r>
      <w:r w:rsidR="00B847CF">
        <w:rPr>
          <w:szCs w:val="24"/>
        </w:rPr>
        <w:t>,</w:t>
      </w:r>
      <w:r w:rsidR="00324805">
        <w:rPr>
          <w:szCs w:val="24"/>
        </w:rPr>
        <w:t xml:space="preserve"> and Moanalua CSA’s McKinley and Moanalua Campuses </w:t>
      </w:r>
      <w:r w:rsidR="00B847CF">
        <w:rPr>
          <w:szCs w:val="24"/>
        </w:rPr>
        <w:t xml:space="preserve">each </w:t>
      </w:r>
      <w:r w:rsidR="00324805">
        <w:rPr>
          <w:szCs w:val="24"/>
        </w:rPr>
        <w:t>met four benchmarks</w:t>
      </w:r>
      <w:r w:rsidR="009C5621" w:rsidRPr="00533550">
        <w:rPr>
          <w:szCs w:val="24"/>
        </w:rPr>
        <w:t xml:space="preserve">.  </w:t>
      </w:r>
      <w:r w:rsidR="007A7B26" w:rsidRPr="00533550">
        <w:rPr>
          <w:szCs w:val="24"/>
        </w:rPr>
        <w:t>However, all campuses of the</w:t>
      </w:r>
      <w:r w:rsidR="00DD232D" w:rsidRPr="00533550">
        <w:rPr>
          <w:szCs w:val="24"/>
        </w:rPr>
        <w:t xml:space="preserve"> CSAs</w:t>
      </w:r>
      <w:r w:rsidR="00A312D1" w:rsidRPr="00533550">
        <w:rPr>
          <w:szCs w:val="24"/>
        </w:rPr>
        <w:t xml:space="preserve"> must </w:t>
      </w:r>
      <w:r w:rsidR="00B847CF">
        <w:rPr>
          <w:szCs w:val="24"/>
        </w:rPr>
        <w:t xml:space="preserve">continue to </w:t>
      </w:r>
      <w:r w:rsidR="00B10CB2" w:rsidRPr="00533550">
        <w:rPr>
          <w:szCs w:val="24"/>
        </w:rPr>
        <w:t>make gains in the</w:t>
      </w:r>
      <w:r w:rsidR="002E4857" w:rsidRPr="00533550">
        <w:rPr>
          <w:szCs w:val="24"/>
        </w:rPr>
        <w:t xml:space="preserve"> percentage of students completing a </w:t>
      </w:r>
      <w:r w:rsidR="00B847CF">
        <w:rPr>
          <w:szCs w:val="24"/>
        </w:rPr>
        <w:t>measurable skill</w:t>
      </w:r>
      <w:r w:rsidR="002E4857" w:rsidRPr="00533550">
        <w:rPr>
          <w:szCs w:val="24"/>
        </w:rPr>
        <w:t xml:space="preserve"> level </w:t>
      </w:r>
      <w:r w:rsidR="00DD232D" w:rsidRPr="00533550">
        <w:rPr>
          <w:szCs w:val="24"/>
        </w:rPr>
        <w:t>to meet the benchmarks</w:t>
      </w:r>
      <w:r w:rsidR="007A7B26" w:rsidRPr="00533550">
        <w:rPr>
          <w:szCs w:val="24"/>
        </w:rPr>
        <w:t xml:space="preserve"> and to ensure student success.  The </w:t>
      </w:r>
      <w:r w:rsidR="00B847CF">
        <w:rPr>
          <w:szCs w:val="24"/>
        </w:rPr>
        <w:t>implementation of</w:t>
      </w:r>
      <w:r w:rsidR="007A7B26" w:rsidRPr="00533550">
        <w:rPr>
          <w:szCs w:val="24"/>
        </w:rPr>
        <w:t xml:space="preserve"> the new standards and new initiatives may have attributed to the </w:t>
      </w:r>
      <w:r w:rsidR="00B847CF">
        <w:rPr>
          <w:szCs w:val="24"/>
        </w:rPr>
        <w:t>increase</w:t>
      </w:r>
      <w:r w:rsidR="007A7B26" w:rsidRPr="00533550">
        <w:rPr>
          <w:szCs w:val="24"/>
        </w:rPr>
        <w:t xml:space="preserve"> of benchmarks met.   </w:t>
      </w:r>
    </w:p>
    <w:p w14:paraId="34C42122" w14:textId="2A03CF95" w:rsidR="00717D6F" w:rsidRPr="00533550" w:rsidRDefault="00373A6F" w:rsidP="000A2EAF">
      <w:pPr>
        <w:pStyle w:val="BodyText"/>
        <w:spacing w:after="120"/>
        <w:rPr>
          <w:szCs w:val="24"/>
        </w:rPr>
      </w:pPr>
      <w:r w:rsidRPr="00533550">
        <w:rPr>
          <w:szCs w:val="24"/>
        </w:rPr>
        <w:t xml:space="preserve">Increasing student achievement </w:t>
      </w:r>
      <w:r w:rsidR="00E16815" w:rsidRPr="00533550">
        <w:rPr>
          <w:szCs w:val="24"/>
        </w:rPr>
        <w:t>remains a priority of HIDOE</w:t>
      </w:r>
      <w:r w:rsidRPr="00533550">
        <w:rPr>
          <w:szCs w:val="24"/>
        </w:rPr>
        <w:t>.</w:t>
      </w:r>
      <w:r w:rsidR="006654EA" w:rsidRPr="00533550">
        <w:rPr>
          <w:szCs w:val="24"/>
        </w:rPr>
        <w:t xml:space="preserve"> </w:t>
      </w:r>
      <w:r w:rsidRPr="00533550">
        <w:rPr>
          <w:szCs w:val="24"/>
        </w:rPr>
        <w:t xml:space="preserve"> </w:t>
      </w:r>
      <w:r w:rsidR="00E16815" w:rsidRPr="00533550">
        <w:rPr>
          <w:szCs w:val="24"/>
        </w:rPr>
        <w:t xml:space="preserve">The </w:t>
      </w:r>
      <w:r w:rsidR="006654EA" w:rsidRPr="00533550">
        <w:rPr>
          <w:szCs w:val="24"/>
        </w:rPr>
        <w:t xml:space="preserve">CSAs </w:t>
      </w:r>
      <w:r w:rsidRPr="00533550">
        <w:rPr>
          <w:szCs w:val="24"/>
        </w:rPr>
        <w:t>continue to</w:t>
      </w:r>
      <w:r w:rsidR="006654EA" w:rsidRPr="00533550">
        <w:rPr>
          <w:szCs w:val="24"/>
        </w:rPr>
        <w:t xml:space="preserve"> monitor instruction through multiple str</w:t>
      </w:r>
      <w:r w:rsidRPr="00533550">
        <w:rPr>
          <w:szCs w:val="24"/>
        </w:rPr>
        <w:t>ategies</w:t>
      </w:r>
      <w:r w:rsidR="00E16815" w:rsidRPr="00533550">
        <w:rPr>
          <w:szCs w:val="24"/>
        </w:rPr>
        <w:t xml:space="preserve"> to ensure student learning</w:t>
      </w:r>
      <w:r w:rsidRPr="00533550">
        <w:rPr>
          <w:szCs w:val="24"/>
        </w:rPr>
        <w:t xml:space="preserve">.  Waipahu CSA employs resource </w:t>
      </w:r>
      <w:r w:rsidR="006654EA" w:rsidRPr="00533550">
        <w:rPr>
          <w:szCs w:val="24"/>
        </w:rPr>
        <w:t>teacher</w:t>
      </w:r>
      <w:r w:rsidRPr="00533550">
        <w:rPr>
          <w:szCs w:val="24"/>
        </w:rPr>
        <w:t>s</w:t>
      </w:r>
      <w:r w:rsidR="006654EA" w:rsidRPr="00533550">
        <w:rPr>
          <w:szCs w:val="24"/>
        </w:rPr>
        <w:t xml:space="preserve"> to provide </w:t>
      </w:r>
      <w:r w:rsidR="00E16815" w:rsidRPr="00533550">
        <w:rPr>
          <w:szCs w:val="24"/>
        </w:rPr>
        <w:t xml:space="preserve">supports and </w:t>
      </w:r>
      <w:r w:rsidR="006654EA" w:rsidRPr="00533550">
        <w:rPr>
          <w:szCs w:val="24"/>
        </w:rPr>
        <w:t>professional developm</w:t>
      </w:r>
      <w:r w:rsidR="007A7E70" w:rsidRPr="00533550">
        <w:rPr>
          <w:szCs w:val="24"/>
        </w:rPr>
        <w:t xml:space="preserve">ent </w:t>
      </w:r>
      <w:r w:rsidR="006654EA" w:rsidRPr="00533550">
        <w:rPr>
          <w:szCs w:val="24"/>
        </w:rPr>
        <w:t>for teachers</w:t>
      </w:r>
      <w:r w:rsidR="007A7E70" w:rsidRPr="00533550">
        <w:rPr>
          <w:szCs w:val="24"/>
        </w:rPr>
        <w:t>.</w:t>
      </w:r>
      <w:r w:rsidR="006654EA" w:rsidRPr="00533550">
        <w:rPr>
          <w:szCs w:val="24"/>
        </w:rPr>
        <w:t xml:space="preserve"> </w:t>
      </w:r>
      <w:r w:rsidR="007A7E70" w:rsidRPr="00533550">
        <w:rPr>
          <w:szCs w:val="24"/>
        </w:rPr>
        <w:t xml:space="preserve"> McKinley </w:t>
      </w:r>
      <w:r w:rsidR="005B24B0">
        <w:rPr>
          <w:szCs w:val="24"/>
        </w:rPr>
        <w:t>CSA employs an adult education program s</w:t>
      </w:r>
      <w:r w:rsidR="007A7E70" w:rsidRPr="00533550">
        <w:rPr>
          <w:szCs w:val="24"/>
        </w:rPr>
        <w:t>pecialist to oversee its instruc</w:t>
      </w:r>
      <w:r w:rsidR="005B24B0">
        <w:rPr>
          <w:szCs w:val="24"/>
        </w:rPr>
        <w:t>tional programs and utilizes a leadership t</w:t>
      </w:r>
      <w:bookmarkStart w:id="0" w:name="_GoBack"/>
      <w:bookmarkEnd w:id="0"/>
      <w:r w:rsidR="007A7E70" w:rsidRPr="00533550">
        <w:rPr>
          <w:szCs w:val="24"/>
        </w:rPr>
        <w:t>eam to analyze student programs to assess student learning.  Both</w:t>
      </w:r>
      <w:r w:rsidR="006654EA" w:rsidRPr="00533550">
        <w:rPr>
          <w:szCs w:val="24"/>
        </w:rPr>
        <w:t xml:space="preserve"> CSAs have </w:t>
      </w:r>
      <w:r w:rsidRPr="00533550">
        <w:rPr>
          <w:szCs w:val="24"/>
        </w:rPr>
        <w:t>transition</w:t>
      </w:r>
      <w:r w:rsidR="006654EA" w:rsidRPr="00533550">
        <w:rPr>
          <w:szCs w:val="24"/>
        </w:rPr>
        <w:t xml:space="preserve"> coordinators to monitor student progress in an effort to ensure </w:t>
      </w:r>
      <w:r w:rsidR="00E16815" w:rsidRPr="00533550">
        <w:rPr>
          <w:szCs w:val="24"/>
        </w:rPr>
        <w:t>students are on track to meet their goals</w:t>
      </w:r>
      <w:r w:rsidR="006654EA" w:rsidRPr="00533550">
        <w:rPr>
          <w:szCs w:val="24"/>
        </w:rPr>
        <w:t xml:space="preserve">.  CSA administrators </w:t>
      </w:r>
      <w:r w:rsidR="00DA1927" w:rsidRPr="00533550">
        <w:rPr>
          <w:szCs w:val="24"/>
        </w:rPr>
        <w:t xml:space="preserve">and teacher mentors </w:t>
      </w:r>
      <w:r w:rsidR="006654EA" w:rsidRPr="00533550">
        <w:rPr>
          <w:szCs w:val="24"/>
        </w:rPr>
        <w:t>conduct walkthroughs and classroom observations to ensure teachers are following their respective curriculum and utilizing effective teaching strategies.  The classroom observations also serve to inform administrators about the needs of their teachers and what professional development is needed.  Thus, the CSAs are working toward improving the literacy skills of their students through multiple means.</w:t>
      </w:r>
    </w:p>
    <w:p w14:paraId="6337DB55" w14:textId="1019C48C" w:rsidR="002E4857" w:rsidRPr="00533550" w:rsidRDefault="00A16AF6" w:rsidP="00B42BFF">
      <w:pPr>
        <w:pStyle w:val="BodyText"/>
        <w:spacing w:after="120"/>
        <w:rPr>
          <w:szCs w:val="24"/>
        </w:rPr>
      </w:pPr>
      <w:r w:rsidRPr="00533550">
        <w:rPr>
          <w:szCs w:val="24"/>
        </w:rPr>
        <w:t xml:space="preserve">The challenge in making greater gains in student achievement </w:t>
      </w:r>
      <w:r w:rsidR="00190596" w:rsidRPr="00533550">
        <w:rPr>
          <w:szCs w:val="24"/>
        </w:rPr>
        <w:t>continues to be</w:t>
      </w:r>
      <w:r w:rsidRPr="00533550">
        <w:rPr>
          <w:szCs w:val="24"/>
        </w:rPr>
        <w:t xml:space="preserve"> the large number of students who do not complete the program year.  Student tr</w:t>
      </w:r>
      <w:r w:rsidR="00AB3460" w:rsidRPr="00533550">
        <w:rPr>
          <w:szCs w:val="24"/>
        </w:rPr>
        <w:t>ansiency and the dropout rate for</w:t>
      </w:r>
      <w:r w:rsidRPr="00533550">
        <w:rPr>
          <w:szCs w:val="24"/>
        </w:rPr>
        <w:t xml:space="preserve"> both CSAs </w:t>
      </w:r>
      <w:r w:rsidR="0048109E" w:rsidRPr="00533550">
        <w:rPr>
          <w:szCs w:val="24"/>
        </w:rPr>
        <w:t>remain</w:t>
      </w:r>
      <w:r w:rsidRPr="00533550">
        <w:rPr>
          <w:szCs w:val="24"/>
        </w:rPr>
        <w:t xml:space="preserve"> relatively high.  </w:t>
      </w:r>
      <w:r w:rsidR="0080580B" w:rsidRPr="00533550">
        <w:rPr>
          <w:szCs w:val="24"/>
        </w:rPr>
        <w:t xml:space="preserve">While the CSAs failed to meet </w:t>
      </w:r>
      <w:r w:rsidR="000F4A55">
        <w:rPr>
          <w:szCs w:val="24"/>
        </w:rPr>
        <w:t>all the</w:t>
      </w:r>
      <w:r w:rsidR="002F404A" w:rsidRPr="00533550">
        <w:rPr>
          <w:szCs w:val="24"/>
        </w:rPr>
        <w:t xml:space="preserve"> target</w:t>
      </w:r>
      <w:r w:rsidR="000F4A55">
        <w:rPr>
          <w:szCs w:val="24"/>
        </w:rPr>
        <w:t>s</w:t>
      </w:r>
      <w:r w:rsidR="0080580B" w:rsidRPr="00533550">
        <w:rPr>
          <w:szCs w:val="24"/>
        </w:rPr>
        <w:t xml:space="preserve"> set for P</w:t>
      </w:r>
      <w:r w:rsidR="0048109E" w:rsidRPr="00533550">
        <w:rPr>
          <w:szCs w:val="24"/>
        </w:rPr>
        <w:t xml:space="preserve">Y </w:t>
      </w:r>
      <w:r w:rsidR="008A4C09">
        <w:rPr>
          <w:szCs w:val="24"/>
        </w:rPr>
        <w:t>2016-17</w:t>
      </w:r>
      <w:r w:rsidR="0080580B" w:rsidRPr="00533550">
        <w:rPr>
          <w:szCs w:val="24"/>
        </w:rPr>
        <w:t xml:space="preserve">, data shows that the percentage of students completing a competency level amongst the students who completed the program year – students who attended at least 12 hours of instruction and were </w:t>
      </w:r>
      <w:r w:rsidR="0044014D" w:rsidRPr="00533550">
        <w:rPr>
          <w:szCs w:val="24"/>
        </w:rPr>
        <w:t xml:space="preserve">both pre- and </w:t>
      </w:r>
      <w:r w:rsidR="0080580B" w:rsidRPr="00533550">
        <w:rPr>
          <w:szCs w:val="24"/>
        </w:rPr>
        <w:t xml:space="preserve">post-tested – exceeded the State Target Performance Level for all </w:t>
      </w:r>
      <w:r w:rsidR="000F4A55">
        <w:rPr>
          <w:szCs w:val="24"/>
        </w:rPr>
        <w:t>measurable skills level</w:t>
      </w:r>
      <w:r w:rsidR="0048109E" w:rsidRPr="00533550">
        <w:rPr>
          <w:szCs w:val="24"/>
        </w:rPr>
        <w:t>s</w:t>
      </w:r>
      <w:r w:rsidR="00E529E6">
        <w:rPr>
          <w:szCs w:val="24"/>
        </w:rPr>
        <w:t xml:space="preserve"> except for ESL Level 6</w:t>
      </w:r>
      <w:r w:rsidR="0048109E" w:rsidRPr="00533550">
        <w:rPr>
          <w:szCs w:val="24"/>
        </w:rPr>
        <w:t>.</w:t>
      </w:r>
      <w:r w:rsidR="00BE1245" w:rsidRPr="00533550">
        <w:rPr>
          <w:szCs w:val="24"/>
        </w:rPr>
        <w:t xml:space="preserve">  </w:t>
      </w:r>
      <w:r w:rsidR="0080580B" w:rsidRPr="00533550">
        <w:rPr>
          <w:szCs w:val="24"/>
        </w:rPr>
        <w:t xml:space="preserve">Thus, students made greater gains if they remained in their program throughout the program year.  If the CSAs were able to better retain their students, they would be more successful in meeting the State Target Performance Levels.  </w:t>
      </w:r>
      <w:r w:rsidRPr="00533550">
        <w:rPr>
          <w:szCs w:val="24"/>
        </w:rPr>
        <w:t xml:space="preserve">To address this, the CSAs </w:t>
      </w:r>
      <w:r w:rsidR="00E529E6">
        <w:rPr>
          <w:szCs w:val="24"/>
        </w:rPr>
        <w:t>continue to better their</w:t>
      </w:r>
      <w:r w:rsidR="00E529E6" w:rsidRPr="00E529E6">
        <w:rPr>
          <w:szCs w:val="24"/>
        </w:rPr>
        <w:t xml:space="preserve"> efforts </w:t>
      </w:r>
      <w:r w:rsidR="00E529E6">
        <w:rPr>
          <w:szCs w:val="24"/>
        </w:rPr>
        <w:t>in</w:t>
      </w:r>
      <w:r w:rsidRPr="00533550">
        <w:rPr>
          <w:szCs w:val="24"/>
        </w:rPr>
        <w:t xml:space="preserve"> retain</w:t>
      </w:r>
      <w:r w:rsidR="00E529E6">
        <w:rPr>
          <w:szCs w:val="24"/>
        </w:rPr>
        <w:t>ing</w:t>
      </w:r>
      <w:r w:rsidRPr="00533550">
        <w:rPr>
          <w:szCs w:val="24"/>
        </w:rPr>
        <w:t xml:space="preserve"> their students.  At both CSAs, </w:t>
      </w:r>
      <w:r w:rsidR="00A60F52" w:rsidRPr="00533550">
        <w:rPr>
          <w:szCs w:val="24"/>
        </w:rPr>
        <w:t xml:space="preserve">the Personalized Transition Plans were implemented and </w:t>
      </w:r>
      <w:r w:rsidRPr="00533550">
        <w:rPr>
          <w:szCs w:val="24"/>
        </w:rPr>
        <w:t>teachers have been asked to better monitor student attendance and progress and counsel students who are in jeopardy of not succeeding in the program.  Both McKinley and Waipahu CSAs also employ counselors to support students.  These counselors not only help students with the transit</w:t>
      </w:r>
      <w:r w:rsidR="00117789" w:rsidRPr="00533550">
        <w:rPr>
          <w:szCs w:val="24"/>
        </w:rPr>
        <w:t>ion from the CSAs to their post</w:t>
      </w:r>
      <w:r w:rsidRPr="00533550">
        <w:rPr>
          <w:szCs w:val="24"/>
        </w:rPr>
        <w:t xml:space="preserve">secondary school options, but also help teachers monitor student attendance in class and counsel students who are underperforming.  The CSAs have provided professional development to </w:t>
      </w:r>
      <w:r w:rsidR="00717D6F" w:rsidRPr="00533550">
        <w:rPr>
          <w:szCs w:val="24"/>
        </w:rPr>
        <w:t>improve</w:t>
      </w:r>
      <w:r w:rsidRPr="00533550">
        <w:rPr>
          <w:szCs w:val="24"/>
        </w:rPr>
        <w:t xml:space="preserve"> classroom instruction and implement more relevant and engaging curriculum</w:t>
      </w:r>
      <w:r w:rsidR="003F3904" w:rsidRPr="00533550">
        <w:rPr>
          <w:szCs w:val="24"/>
        </w:rPr>
        <w:t xml:space="preserve"> as well as more relevant programs</w:t>
      </w:r>
      <w:r w:rsidRPr="00533550">
        <w:rPr>
          <w:szCs w:val="24"/>
        </w:rPr>
        <w:t xml:space="preserve"> to better retain students.  In addition to addressing student retention within the schools, the CSAs have been working closely with the feeder high schools and community partners to ensure a smoother transition from these organizations to the CSAs.  The partnerships with the high schools and community organizations play a valuable role in the recruitment of students and the collaboration between these organizations and the CSAs support the retention of these students.</w:t>
      </w:r>
      <w:r w:rsidR="003F3904" w:rsidRPr="00533550">
        <w:rPr>
          <w:szCs w:val="24"/>
        </w:rPr>
        <w:t xml:space="preserve">  </w:t>
      </w:r>
      <w:r w:rsidR="002E4857" w:rsidRPr="00533550">
        <w:rPr>
          <w:szCs w:val="24"/>
        </w:rPr>
        <w:t xml:space="preserve">  </w:t>
      </w:r>
      <w:r w:rsidR="00350152" w:rsidRPr="00533550">
        <w:rPr>
          <w:szCs w:val="24"/>
        </w:rPr>
        <w:t xml:space="preserve">  </w:t>
      </w:r>
    </w:p>
    <w:p w14:paraId="70E63EBE" w14:textId="77777777" w:rsidR="002E4857" w:rsidRPr="00533550" w:rsidRDefault="002E4857" w:rsidP="002E4857">
      <w:pPr>
        <w:pStyle w:val="BodyText"/>
        <w:rPr>
          <w:szCs w:val="24"/>
          <w:highlight w:val="green"/>
        </w:rPr>
      </w:pPr>
    </w:p>
    <w:p w14:paraId="4C01EA52" w14:textId="77777777" w:rsidR="00A82F21" w:rsidRPr="00533550" w:rsidRDefault="00A82F21" w:rsidP="00A82F21">
      <w:pPr>
        <w:autoSpaceDE w:val="0"/>
        <w:autoSpaceDN w:val="0"/>
        <w:adjustRightInd w:val="0"/>
        <w:spacing w:after="120" w:line="240" w:lineRule="auto"/>
        <w:rPr>
          <w:rFonts w:ascii="Times New Roman" w:hAnsi="Times New Roman"/>
          <w:b/>
          <w:bCs/>
          <w:sz w:val="24"/>
          <w:szCs w:val="24"/>
        </w:rPr>
      </w:pPr>
      <w:r w:rsidRPr="00533550">
        <w:rPr>
          <w:rFonts w:ascii="Times New Roman" w:hAnsi="Times New Roman"/>
          <w:b/>
          <w:bCs/>
          <w:sz w:val="24"/>
          <w:szCs w:val="24"/>
        </w:rPr>
        <w:t xml:space="preserve">3. </w:t>
      </w:r>
      <w:r w:rsidR="00955125" w:rsidRPr="00533550">
        <w:rPr>
          <w:rFonts w:ascii="Times New Roman" w:hAnsi="Times New Roman"/>
          <w:b/>
          <w:bCs/>
          <w:sz w:val="24"/>
          <w:szCs w:val="24"/>
        </w:rPr>
        <w:t>Integration with One-S</w:t>
      </w:r>
      <w:r w:rsidRPr="00533550">
        <w:rPr>
          <w:rFonts w:ascii="Times New Roman" w:hAnsi="Times New Roman"/>
          <w:b/>
          <w:bCs/>
          <w:sz w:val="24"/>
          <w:szCs w:val="24"/>
        </w:rPr>
        <w:t>top Partners</w:t>
      </w:r>
    </w:p>
    <w:p w14:paraId="008729D4" w14:textId="77777777" w:rsidR="004D1D86" w:rsidRPr="00533550" w:rsidRDefault="00A82F21" w:rsidP="00A82F21">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lastRenderedPageBreak/>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5C5C5BEB" w14:textId="77777777" w:rsidR="004D1D86" w:rsidRPr="00533550" w:rsidRDefault="004D1D86" w:rsidP="002E4857">
      <w:pPr>
        <w:pStyle w:val="BodyText"/>
        <w:rPr>
          <w:szCs w:val="24"/>
        </w:rPr>
      </w:pPr>
    </w:p>
    <w:p w14:paraId="5E3F1F29" w14:textId="77777777" w:rsidR="00CB1DA9" w:rsidRPr="00533550" w:rsidRDefault="00CB1DA9" w:rsidP="000A2EAF">
      <w:pPr>
        <w:pStyle w:val="NoSpacing"/>
        <w:spacing w:after="120"/>
        <w:rPr>
          <w:rFonts w:ascii="Times New Roman" w:hAnsi="Times New Roman"/>
          <w:sz w:val="24"/>
          <w:szCs w:val="24"/>
        </w:rPr>
      </w:pPr>
      <w:r w:rsidRPr="00533550">
        <w:rPr>
          <w:rFonts w:ascii="Times New Roman" w:hAnsi="Times New Roman"/>
          <w:sz w:val="24"/>
          <w:szCs w:val="24"/>
        </w:rPr>
        <w:t xml:space="preserve">With the onset of the WIOA, </w:t>
      </w:r>
      <w:r w:rsidR="00864970" w:rsidRPr="00533550">
        <w:rPr>
          <w:rFonts w:ascii="Times New Roman" w:hAnsi="Times New Roman"/>
          <w:sz w:val="24"/>
          <w:szCs w:val="24"/>
        </w:rPr>
        <w:t>HIDOE has</w:t>
      </w:r>
      <w:r w:rsidRPr="00533550">
        <w:rPr>
          <w:rFonts w:ascii="Times New Roman" w:hAnsi="Times New Roman"/>
          <w:sz w:val="24"/>
          <w:szCs w:val="24"/>
        </w:rPr>
        <w:t xml:space="preserve"> been working more closely with the Department of Labor and Industrial Relations (DLIR), the Department of Human Services (DHS) Division of Vocational Rehabilitation, the State Workforce Development Council, the Oahu and Hawaii County Workforce Development Boards as well as various community stakeholders to create</w:t>
      </w:r>
      <w:r w:rsidR="00864970" w:rsidRPr="00533550">
        <w:rPr>
          <w:rFonts w:ascii="Times New Roman" w:hAnsi="Times New Roman"/>
          <w:sz w:val="24"/>
          <w:szCs w:val="24"/>
        </w:rPr>
        <w:t xml:space="preserve"> and implement</w:t>
      </w:r>
      <w:r w:rsidRPr="00533550">
        <w:rPr>
          <w:rFonts w:ascii="Times New Roman" w:hAnsi="Times New Roman"/>
          <w:sz w:val="24"/>
          <w:szCs w:val="24"/>
        </w:rPr>
        <w:t xml:space="preserve"> a Unified State Plan that will align the services of the three </w:t>
      </w:r>
      <w:r w:rsidR="009F0EBA" w:rsidRPr="00533550">
        <w:rPr>
          <w:rFonts w:ascii="Times New Roman" w:hAnsi="Times New Roman"/>
          <w:sz w:val="24"/>
          <w:szCs w:val="24"/>
        </w:rPr>
        <w:t xml:space="preserve">core partners </w:t>
      </w:r>
      <w:r w:rsidRPr="00533550">
        <w:rPr>
          <w:rFonts w:ascii="Times New Roman" w:hAnsi="Times New Roman"/>
          <w:sz w:val="24"/>
          <w:szCs w:val="24"/>
        </w:rPr>
        <w:t>(DOE, DLIR, and DHS) and counties to provide better access to education, training, employment, and the support services needed for students to succeed i</w:t>
      </w:r>
      <w:r w:rsidR="00FA121E" w:rsidRPr="00533550">
        <w:rPr>
          <w:rFonts w:ascii="Times New Roman" w:hAnsi="Times New Roman"/>
          <w:sz w:val="24"/>
          <w:szCs w:val="24"/>
        </w:rPr>
        <w:t xml:space="preserve">n the workforce. </w:t>
      </w:r>
      <w:r w:rsidR="00FF4C12" w:rsidRPr="00533550">
        <w:rPr>
          <w:rFonts w:ascii="Times New Roman" w:hAnsi="Times New Roman"/>
          <w:sz w:val="24"/>
          <w:szCs w:val="24"/>
        </w:rPr>
        <w:t xml:space="preserve">The core partners engage in monthly face-to-face and/or virtual meetings to </w:t>
      </w:r>
      <w:r w:rsidR="00B25539" w:rsidRPr="00533550">
        <w:rPr>
          <w:rFonts w:ascii="Times New Roman" w:hAnsi="Times New Roman"/>
          <w:sz w:val="24"/>
          <w:szCs w:val="24"/>
        </w:rPr>
        <w:t xml:space="preserve">plan and to </w:t>
      </w:r>
      <w:r w:rsidR="00FF4C12" w:rsidRPr="00533550">
        <w:rPr>
          <w:rFonts w:ascii="Times New Roman" w:hAnsi="Times New Roman"/>
          <w:sz w:val="24"/>
          <w:szCs w:val="24"/>
        </w:rPr>
        <w:t>discuss</w:t>
      </w:r>
      <w:r w:rsidR="00B25539" w:rsidRPr="00533550">
        <w:rPr>
          <w:rFonts w:ascii="Times New Roman" w:hAnsi="Times New Roman"/>
          <w:sz w:val="24"/>
          <w:szCs w:val="24"/>
        </w:rPr>
        <w:t xml:space="preserve"> implementation strategies for</w:t>
      </w:r>
      <w:r w:rsidR="00FF4C12" w:rsidRPr="00533550">
        <w:rPr>
          <w:rFonts w:ascii="Times New Roman" w:hAnsi="Times New Roman"/>
          <w:sz w:val="24"/>
          <w:szCs w:val="24"/>
        </w:rPr>
        <w:t xml:space="preserve"> </w:t>
      </w:r>
      <w:r w:rsidR="00B25539" w:rsidRPr="00533550">
        <w:rPr>
          <w:rFonts w:ascii="Times New Roman" w:hAnsi="Times New Roman"/>
          <w:sz w:val="24"/>
          <w:szCs w:val="24"/>
        </w:rPr>
        <w:t>Hawaii’s Unified State Plan and the WIOA requirements</w:t>
      </w:r>
      <w:r w:rsidR="00371EAD" w:rsidRPr="00533550">
        <w:rPr>
          <w:rFonts w:ascii="Times New Roman" w:hAnsi="Times New Roman"/>
          <w:sz w:val="24"/>
          <w:szCs w:val="24"/>
        </w:rPr>
        <w:t xml:space="preserve"> with other agencies such as the One-Stop centers, Department of Health, TANF, and the Chamber of Commerce</w:t>
      </w:r>
      <w:r w:rsidR="00B25539" w:rsidRPr="00533550">
        <w:rPr>
          <w:rFonts w:ascii="Times New Roman" w:hAnsi="Times New Roman"/>
          <w:sz w:val="24"/>
          <w:szCs w:val="24"/>
        </w:rPr>
        <w:t xml:space="preserve">. </w:t>
      </w:r>
      <w:r w:rsidR="00371EAD" w:rsidRPr="00533550">
        <w:rPr>
          <w:rFonts w:ascii="Times New Roman" w:hAnsi="Times New Roman"/>
          <w:sz w:val="24"/>
          <w:szCs w:val="24"/>
        </w:rPr>
        <w:t>On the local level, t</w:t>
      </w:r>
      <w:r w:rsidR="004C1CEA" w:rsidRPr="00533550">
        <w:rPr>
          <w:rFonts w:ascii="Times New Roman" w:hAnsi="Times New Roman"/>
          <w:sz w:val="24"/>
          <w:szCs w:val="24"/>
        </w:rPr>
        <w:t>he CSAs continue</w:t>
      </w:r>
      <w:r w:rsidRPr="00533550">
        <w:rPr>
          <w:rFonts w:ascii="Times New Roman" w:hAnsi="Times New Roman"/>
          <w:sz w:val="24"/>
          <w:szCs w:val="24"/>
        </w:rPr>
        <w:t xml:space="preserve"> to </w:t>
      </w:r>
      <w:r w:rsidR="00371EAD" w:rsidRPr="00533550">
        <w:rPr>
          <w:rFonts w:ascii="Times New Roman" w:hAnsi="Times New Roman"/>
          <w:sz w:val="24"/>
          <w:szCs w:val="24"/>
        </w:rPr>
        <w:t xml:space="preserve">maintain their MOUs and </w:t>
      </w:r>
      <w:r w:rsidRPr="00533550">
        <w:rPr>
          <w:rFonts w:ascii="Times New Roman" w:hAnsi="Times New Roman"/>
          <w:sz w:val="24"/>
          <w:szCs w:val="24"/>
        </w:rPr>
        <w:t xml:space="preserve">partner </w:t>
      </w:r>
      <w:r w:rsidR="004C1CEA" w:rsidRPr="00533550">
        <w:rPr>
          <w:rFonts w:ascii="Times New Roman" w:hAnsi="Times New Roman"/>
          <w:sz w:val="24"/>
          <w:szCs w:val="24"/>
        </w:rPr>
        <w:t xml:space="preserve">directly </w:t>
      </w:r>
      <w:r w:rsidRPr="00533550">
        <w:rPr>
          <w:rFonts w:ascii="Times New Roman" w:hAnsi="Times New Roman"/>
          <w:sz w:val="24"/>
          <w:szCs w:val="24"/>
        </w:rPr>
        <w:t>with the One-Stop Centers to provide comprehensive services to students.</w:t>
      </w:r>
    </w:p>
    <w:p w14:paraId="1FC966B5" w14:textId="77777777" w:rsidR="004F2020" w:rsidRDefault="000510FA" w:rsidP="000A2EAF">
      <w:pPr>
        <w:pStyle w:val="BodyText"/>
        <w:spacing w:after="120"/>
        <w:rPr>
          <w:szCs w:val="24"/>
        </w:rPr>
      </w:pPr>
      <w:r w:rsidRPr="00533550">
        <w:rPr>
          <w:szCs w:val="24"/>
        </w:rPr>
        <w:t>Since</w:t>
      </w:r>
      <w:r w:rsidR="00B10E8F" w:rsidRPr="00533550">
        <w:rPr>
          <w:szCs w:val="24"/>
        </w:rPr>
        <w:t xml:space="preserve"> PY </w:t>
      </w:r>
      <w:r w:rsidR="004B10C4">
        <w:rPr>
          <w:szCs w:val="24"/>
        </w:rPr>
        <w:t>2014-</w:t>
      </w:r>
      <w:r w:rsidRPr="00533550">
        <w:rPr>
          <w:szCs w:val="24"/>
        </w:rPr>
        <w:t>15</w:t>
      </w:r>
      <w:r w:rsidR="00B10E8F" w:rsidRPr="00533550">
        <w:rPr>
          <w:szCs w:val="24"/>
        </w:rPr>
        <w:t xml:space="preserve">, </w:t>
      </w:r>
      <w:r w:rsidRPr="00533550">
        <w:rPr>
          <w:szCs w:val="24"/>
        </w:rPr>
        <w:t xml:space="preserve">Hawaii’s adult education state and local agencies </w:t>
      </w:r>
      <w:r w:rsidR="00B10E8F" w:rsidRPr="00533550">
        <w:rPr>
          <w:szCs w:val="24"/>
        </w:rPr>
        <w:t xml:space="preserve">collaborated with </w:t>
      </w:r>
      <w:r w:rsidRPr="00533550">
        <w:rPr>
          <w:szCs w:val="24"/>
        </w:rPr>
        <w:t xml:space="preserve">other state </w:t>
      </w:r>
      <w:r w:rsidR="00B10E8F" w:rsidRPr="00533550">
        <w:rPr>
          <w:szCs w:val="24"/>
        </w:rPr>
        <w:t xml:space="preserve">partners to design a statewide career pathway system to be </w:t>
      </w:r>
      <w:r w:rsidR="0012378C" w:rsidRPr="00533550">
        <w:rPr>
          <w:szCs w:val="24"/>
        </w:rPr>
        <w:t>fully implemented in PY 2016-17</w:t>
      </w:r>
      <w:r w:rsidR="00B10E8F" w:rsidRPr="00533550">
        <w:rPr>
          <w:szCs w:val="24"/>
        </w:rPr>
        <w:t xml:space="preserve">.  </w:t>
      </w:r>
      <w:r w:rsidRPr="00533550">
        <w:rPr>
          <w:szCs w:val="24"/>
        </w:rPr>
        <w:t>In PY</w:t>
      </w:r>
      <w:r w:rsidR="004B10C4">
        <w:rPr>
          <w:szCs w:val="24"/>
        </w:rPr>
        <w:t xml:space="preserve"> 2015-</w:t>
      </w:r>
      <w:r w:rsidR="00653E2E" w:rsidRPr="00533550">
        <w:rPr>
          <w:szCs w:val="24"/>
        </w:rPr>
        <w:t xml:space="preserve">16, Hawaii was selected to participate in the U.S. Department of Education’s Office of Career, Technical, and Adult Education’s (OCTAE) Advancing Career Pathways project. </w:t>
      </w:r>
      <w:r w:rsidR="004F2020">
        <w:rPr>
          <w:szCs w:val="24"/>
        </w:rPr>
        <w:t xml:space="preserve"> Stakeholders from </w:t>
      </w:r>
      <w:r w:rsidR="00B84243" w:rsidRPr="00533550">
        <w:rPr>
          <w:szCs w:val="24"/>
        </w:rPr>
        <w:t xml:space="preserve">Hawaii’s </w:t>
      </w:r>
      <w:r w:rsidR="004F2020">
        <w:rPr>
          <w:szCs w:val="24"/>
        </w:rPr>
        <w:t xml:space="preserve">K-12 </w:t>
      </w:r>
      <w:r w:rsidR="00AA231F" w:rsidRPr="00533550">
        <w:rPr>
          <w:szCs w:val="24"/>
        </w:rPr>
        <w:t>education, adult education, post</w:t>
      </w:r>
      <w:r w:rsidR="004F2020">
        <w:rPr>
          <w:szCs w:val="24"/>
        </w:rPr>
        <w:t>-</w:t>
      </w:r>
      <w:r w:rsidR="00AA231F" w:rsidRPr="00533550">
        <w:rPr>
          <w:szCs w:val="24"/>
        </w:rPr>
        <w:t>secondary</w:t>
      </w:r>
      <w:r w:rsidR="004F2020">
        <w:rPr>
          <w:szCs w:val="24"/>
        </w:rPr>
        <w:t xml:space="preserve"> education</w:t>
      </w:r>
      <w:r w:rsidR="00AA231F" w:rsidRPr="00533550">
        <w:rPr>
          <w:szCs w:val="24"/>
        </w:rPr>
        <w:t xml:space="preserve">, business, industry, </w:t>
      </w:r>
      <w:r w:rsidR="004F2020">
        <w:rPr>
          <w:szCs w:val="24"/>
        </w:rPr>
        <w:t>and</w:t>
      </w:r>
      <w:r w:rsidR="00AA231F" w:rsidRPr="00533550">
        <w:rPr>
          <w:szCs w:val="24"/>
        </w:rPr>
        <w:t xml:space="preserve"> other core partner</w:t>
      </w:r>
      <w:r w:rsidR="004F2020">
        <w:rPr>
          <w:szCs w:val="24"/>
        </w:rPr>
        <w:t>ships</w:t>
      </w:r>
      <w:r w:rsidR="00AA231F" w:rsidRPr="00533550">
        <w:rPr>
          <w:szCs w:val="24"/>
        </w:rPr>
        <w:t xml:space="preserve"> </w:t>
      </w:r>
      <w:r w:rsidR="00B84243" w:rsidRPr="00533550">
        <w:rPr>
          <w:szCs w:val="24"/>
        </w:rPr>
        <w:t xml:space="preserve">are </w:t>
      </w:r>
      <w:r w:rsidR="00AA231F" w:rsidRPr="00533550">
        <w:rPr>
          <w:szCs w:val="24"/>
        </w:rPr>
        <w:t>establish</w:t>
      </w:r>
      <w:r w:rsidR="00B84243" w:rsidRPr="00533550">
        <w:rPr>
          <w:szCs w:val="24"/>
        </w:rPr>
        <w:t>ing</w:t>
      </w:r>
      <w:r w:rsidR="00AA231F" w:rsidRPr="00533550">
        <w:rPr>
          <w:szCs w:val="24"/>
        </w:rPr>
        <w:t xml:space="preserve"> career pathway systems that </w:t>
      </w:r>
      <w:r w:rsidR="00B84243" w:rsidRPr="00533550">
        <w:rPr>
          <w:szCs w:val="24"/>
        </w:rPr>
        <w:t xml:space="preserve">will </w:t>
      </w:r>
      <w:r w:rsidR="00AA231F" w:rsidRPr="00533550">
        <w:rPr>
          <w:szCs w:val="24"/>
        </w:rPr>
        <w:t xml:space="preserve">make it easier for </w:t>
      </w:r>
      <w:r w:rsidR="004F2020">
        <w:rPr>
          <w:szCs w:val="24"/>
        </w:rPr>
        <w:t xml:space="preserve">people, such as </w:t>
      </w:r>
      <w:r w:rsidR="00AA231F" w:rsidRPr="00533550">
        <w:rPr>
          <w:szCs w:val="24"/>
        </w:rPr>
        <w:t xml:space="preserve">students, adult learners, </w:t>
      </w:r>
      <w:r w:rsidR="004F2020">
        <w:rPr>
          <w:szCs w:val="24"/>
        </w:rPr>
        <w:t xml:space="preserve">and </w:t>
      </w:r>
      <w:r w:rsidR="00AA231F" w:rsidRPr="00533550">
        <w:rPr>
          <w:szCs w:val="24"/>
        </w:rPr>
        <w:t>job seekers</w:t>
      </w:r>
      <w:r w:rsidR="004F2020">
        <w:rPr>
          <w:szCs w:val="24"/>
        </w:rPr>
        <w:t>,</w:t>
      </w:r>
      <w:r w:rsidR="00AA231F" w:rsidRPr="00533550">
        <w:rPr>
          <w:szCs w:val="24"/>
        </w:rPr>
        <w:t xml:space="preserve"> to attain the skills and credentials needed for </w:t>
      </w:r>
      <w:r w:rsidR="004F2020">
        <w:rPr>
          <w:szCs w:val="24"/>
        </w:rPr>
        <w:t>employment</w:t>
      </w:r>
      <w:r w:rsidR="00AA231F" w:rsidRPr="00533550">
        <w:rPr>
          <w:szCs w:val="24"/>
        </w:rPr>
        <w:t>.</w:t>
      </w:r>
      <w:r w:rsidR="004F2020">
        <w:rPr>
          <w:szCs w:val="24"/>
        </w:rPr>
        <w:t xml:space="preserve"> </w:t>
      </w:r>
      <w:r w:rsidR="00AA231F" w:rsidRPr="00533550">
        <w:rPr>
          <w:szCs w:val="24"/>
        </w:rPr>
        <w:t xml:space="preserve"> </w:t>
      </w:r>
      <w:r w:rsidR="00653E2E" w:rsidRPr="00533550">
        <w:rPr>
          <w:szCs w:val="24"/>
        </w:rPr>
        <w:t>Hawaii will use a Career Pathway Framework Mode</w:t>
      </w:r>
      <w:r w:rsidR="004F2020">
        <w:rPr>
          <w:szCs w:val="24"/>
        </w:rPr>
        <w:t>l, an</w:t>
      </w:r>
      <w:r w:rsidR="00653E2E" w:rsidRPr="00533550">
        <w:rPr>
          <w:szCs w:val="24"/>
        </w:rPr>
        <w:t xml:space="preserve"> approach</w:t>
      </w:r>
      <w:r w:rsidR="004F2020">
        <w:rPr>
          <w:szCs w:val="24"/>
        </w:rPr>
        <w:t xml:space="preserve"> which</w:t>
      </w:r>
      <w:r w:rsidR="00653E2E" w:rsidRPr="00533550">
        <w:rPr>
          <w:szCs w:val="24"/>
        </w:rPr>
        <w:t xml:space="preserve"> connects progressive levels of education, training, support services, and credentials for specific occupations</w:t>
      </w:r>
      <w:r w:rsidR="004F2020">
        <w:rPr>
          <w:szCs w:val="24"/>
        </w:rPr>
        <w:t>,</w:t>
      </w:r>
      <w:r w:rsidR="00653E2E" w:rsidRPr="00533550">
        <w:rPr>
          <w:szCs w:val="24"/>
        </w:rPr>
        <w:t xml:space="preserve"> in a way that streamlines the progress and success of individuals with varying levels of abilities and needs.</w:t>
      </w:r>
      <w:r w:rsidR="00655E47" w:rsidRPr="00533550">
        <w:rPr>
          <w:szCs w:val="24"/>
        </w:rPr>
        <w:t xml:space="preserve"> </w:t>
      </w:r>
      <w:r w:rsidR="004F2020">
        <w:rPr>
          <w:szCs w:val="24"/>
        </w:rPr>
        <w:t xml:space="preserve"> </w:t>
      </w:r>
      <w:r w:rsidR="00655E47" w:rsidRPr="00533550">
        <w:rPr>
          <w:szCs w:val="24"/>
        </w:rPr>
        <w:t xml:space="preserve">This approach will help individuals earn marketable credentials, engage in </w:t>
      </w:r>
      <w:r w:rsidR="00313485" w:rsidRPr="00533550">
        <w:rPr>
          <w:szCs w:val="24"/>
        </w:rPr>
        <w:t>apprenticeships, f</w:t>
      </w:r>
      <w:r w:rsidR="00655E47" w:rsidRPr="00533550">
        <w:rPr>
          <w:szCs w:val="24"/>
        </w:rPr>
        <w:t xml:space="preserve">urther </w:t>
      </w:r>
      <w:r w:rsidR="00313485" w:rsidRPr="00533550">
        <w:rPr>
          <w:szCs w:val="24"/>
        </w:rPr>
        <w:t xml:space="preserve">one’s </w:t>
      </w:r>
      <w:r w:rsidR="00655E47" w:rsidRPr="00533550">
        <w:rPr>
          <w:szCs w:val="24"/>
        </w:rPr>
        <w:t xml:space="preserve">education and employment, and actively engage employers to meet their workforce needs and strengthen our state’s economy. </w:t>
      </w:r>
      <w:r w:rsidR="004F2020">
        <w:rPr>
          <w:szCs w:val="24"/>
        </w:rPr>
        <w:t xml:space="preserve"> A </w:t>
      </w:r>
      <w:r w:rsidR="00655E47" w:rsidRPr="00533550">
        <w:rPr>
          <w:szCs w:val="24"/>
        </w:rPr>
        <w:t>wide variety of participants</w:t>
      </w:r>
      <w:r w:rsidR="004F2020">
        <w:rPr>
          <w:szCs w:val="24"/>
        </w:rPr>
        <w:t>,</w:t>
      </w:r>
      <w:r w:rsidR="00655E47" w:rsidRPr="00533550">
        <w:rPr>
          <w:szCs w:val="24"/>
        </w:rPr>
        <w:t xml:space="preserve"> including high school, post</w:t>
      </w:r>
      <w:r w:rsidR="004F2020">
        <w:rPr>
          <w:szCs w:val="24"/>
        </w:rPr>
        <w:t>-</w:t>
      </w:r>
      <w:r w:rsidR="00655E47" w:rsidRPr="00533550">
        <w:rPr>
          <w:szCs w:val="24"/>
        </w:rPr>
        <w:t xml:space="preserve">secondary, and adult learners – both </w:t>
      </w:r>
      <w:r w:rsidR="009F0EBA" w:rsidRPr="00533550">
        <w:rPr>
          <w:szCs w:val="24"/>
        </w:rPr>
        <w:t>traditional and nontra</w:t>
      </w:r>
      <w:r w:rsidR="00655E47" w:rsidRPr="00533550">
        <w:rPr>
          <w:szCs w:val="24"/>
        </w:rPr>
        <w:t>ditional</w:t>
      </w:r>
      <w:r w:rsidR="004F2020">
        <w:rPr>
          <w:szCs w:val="24"/>
        </w:rPr>
        <w:t>, will benefit from this Framework</w:t>
      </w:r>
      <w:r w:rsidR="00655E47" w:rsidRPr="00533550">
        <w:rPr>
          <w:szCs w:val="24"/>
        </w:rPr>
        <w:t>.</w:t>
      </w:r>
      <w:r w:rsidR="004E14F8" w:rsidRPr="00533550">
        <w:rPr>
          <w:szCs w:val="24"/>
        </w:rPr>
        <w:t xml:space="preserve"> </w:t>
      </w:r>
      <w:r w:rsidR="004F2020">
        <w:rPr>
          <w:szCs w:val="24"/>
        </w:rPr>
        <w:t xml:space="preserve"> </w:t>
      </w:r>
    </w:p>
    <w:p w14:paraId="369B5691" w14:textId="19E5BE1D" w:rsidR="00B10E8F" w:rsidRPr="00533550" w:rsidRDefault="003C0583" w:rsidP="000A2EAF">
      <w:pPr>
        <w:pStyle w:val="BodyText"/>
        <w:spacing w:after="120"/>
        <w:rPr>
          <w:szCs w:val="24"/>
        </w:rPr>
      </w:pPr>
      <w:r w:rsidRPr="00533550">
        <w:rPr>
          <w:szCs w:val="24"/>
        </w:rPr>
        <w:t xml:space="preserve">The </w:t>
      </w:r>
      <w:r w:rsidR="00655E47" w:rsidRPr="00533550">
        <w:rPr>
          <w:szCs w:val="24"/>
        </w:rPr>
        <w:t xml:space="preserve">adult education program </w:t>
      </w:r>
      <w:r w:rsidR="000A2EAF" w:rsidRPr="00533550">
        <w:rPr>
          <w:szCs w:val="24"/>
        </w:rPr>
        <w:t>continue</w:t>
      </w:r>
      <w:r w:rsidR="004F2020">
        <w:rPr>
          <w:szCs w:val="24"/>
        </w:rPr>
        <w:t>d</w:t>
      </w:r>
      <w:r w:rsidR="000A2EAF" w:rsidRPr="00533550">
        <w:rPr>
          <w:szCs w:val="24"/>
        </w:rPr>
        <w:t xml:space="preserve"> to develop and refine </w:t>
      </w:r>
      <w:r w:rsidRPr="00533550">
        <w:rPr>
          <w:szCs w:val="24"/>
        </w:rPr>
        <w:t>the</w:t>
      </w:r>
      <w:r w:rsidR="000A2EAF" w:rsidRPr="00533550">
        <w:rPr>
          <w:szCs w:val="24"/>
        </w:rPr>
        <w:t xml:space="preserve"> iCAN (Individualized Career Achievement Network) Career Skills Program in PY 2016-17.  This program</w:t>
      </w:r>
      <w:r w:rsidR="00117789" w:rsidRPr="00533550">
        <w:rPr>
          <w:szCs w:val="24"/>
        </w:rPr>
        <w:t>, as previously described,</w:t>
      </w:r>
      <w:r w:rsidR="000A2EAF" w:rsidRPr="00533550">
        <w:rPr>
          <w:szCs w:val="24"/>
        </w:rPr>
        <w:t xml:space="preserve"> is designed to prepare students for success in post-secondary education and in any career field, particularly in the six career pathways of the State of Hawaii – Health Services; Arts and Communication; Business, Industrial and Engineering Technology; Natural Resources; </w:t>
      </w:r>
      <w:r w:rsidR="00655E47" w:rsidRPr="00533550">
        <w:rPr>
          <w:szCs w:val="24"/>
        </w:rPr>
        <w:t>and Public and Human Services.</w:t>
      </w:r>
      <w:r w:rsidR="004F2020">
        <w:rPr>
          <w:szCs w:val="24"/>
        </w:rPr>
        <w:t xml:space="preserve"> </w:t>
      </w:r>
      <w:r w:rsidR="00655E47" w:rsidRPr="00533550">
        <w:rPr>
          <w:szCs w:val="24"/>
        </w:rPr>
        <w:t xml:space="preserve"> </w:t>
      </w:r>
      <w:r w:rsidR="00117789" w:rsidRPr="00533550">
        <w:rPr>
          <w:szCs w:val="24"/>
        </w:rPr>
        <w:t xml:space="preserve">The CSAs will continue to work with the One-Stop Partners to </w:t>
      </w:r>
      <w:r w:rsidR="00A72D43" w:rsidRPr="00533550">
        <w:rPr>
          <w:szCs w:val="24"/>
        </w:rPr>
        <w:t>ensure the success of</w:t>
      </w:r>
      <w:r w:rsidR="000A2EAF" w:rsidRPr="00533550">
        <w:rPr>
          <w:szCs w:val="24"/>
        </w:rPr>
        <w:t xml:space="preserve"> the iCAN program </w:t>
      </w:r>
      <w:r w:rsidR="00A72D43" w:rsidRPr="00533550">
        <w:rPr>
          <w:szCs w:val="24"/>
        </w:rPr>
        <w:t>in helping their clients</w:t>
      </w:r>
      <w:r w:rsidR="00117789" w:rsidRPr="00533550">
        <w:rPr>
          <w:szCs w:val="24"/>
        </w:rPr>
        <w:t xml:space="preserve"> develop</w:t>
      </w:r>
      <w:r w:rsidR="000A2EAF" w:rsidRPr="00533550">
        <w:rPr>
          <w:szCs w:val="24"/>
        </w:rPr>
        <w:t xml:space="preserve"> the basic academic skills n</w:t>
      </w:r>
      <w:r w:rsidR="00A72D43" w:rsidRPr="00533550">
        <w:rPr>
          <w:szCs w:val="24"/>
        </w:rPr>
        <w:t xml:space="preserve">eeded to be gainfully employed and providing them with </w:t>
      </w:r>
      <w:r w:rsidR="000A2EAF" w:rsidRPr="00533550">
        <w:rPr>
          <w:szCs w:val="24"/>
        </w:rPr>
        <w:t xml:space="preserve">background knowledge on the career field of interest.      </w:t>
      </w:r>
    </w:p>
    <w:p w14:paraId="0054B705" w14:textId="77777777" w:rsidR="00444112" w:rsidRPr="00533550" w:rsidRDefault="00444112" w:rsidP="00B81F38">
      <w:pPr>
        <w:pStyle w:val="BodyText"/>
        <w:rPr>
          <w:szCs w:val="24"/>
        </w:rPr>
      </w:pPr>
    </w:p>
    <w:p w14:paraId="4CFDF316" w14:textId="77777777" w:rsidR="00A82F21" w:rsidRPr="00533550" w:rsidRDefault="00A82F21" w:rsidP="00A82F21">
      <w:pPr>
        <w:autoSpaceDE w:val="0"/>
        <w:autoSpaceDN w:val="0"/>
        <w:adjustRightInd w:val="0"/>
        <w:spacing w:after="0" w:line="240" w:lineRule="auto"/>
        <w:rPr>
          <w:rFonts w:ascii="Times New Roman" w:hAnsi="Times New Roman"/>
          <w:sz w:val="24"/>
          <w:szCs w:val="24"/>
        </w:rPr>
      </w:pPr>
      <w:r w:rsidRPr="00533550">
        <w:rPr>
          <w:rFonts w:ascii="Times New Roman" w:hAnsi="Times New Roman"/>
          <w:b/>
          <w:bCs/>
          <w:sz w:val="24"/>
          <w:szCs w:val="24"/>
        </w:rPr>
        <w:t xml:space="preserve">4. Integrated English Literacy and Civics Education (IELCE) Program </w:t>
      </w:r>
      <w:r w:rsidRPr="00533550">
        <w:rPr>
          <w:rFonts w:ascii="Times New Roman" w:hAnsi="Times New Roman"/>
          <w:sz w:val="24"/>
          <w:szCs w:val="24"/>
        </w:rPr>
        <w:t>(AEFLA Section</w:t>
      </w:r>
    </w:p>
    <w:p w14:paraId="45637CA4" w14:textId="77777777" w:rsidR="00A82F21" w:rsidRPr="00533550" w:rsidRDefault="00A82F21" w:rsidP="00955125">
      <w:pPr>
        <w:autoSpaceDE w:val="0"/>
        <w:autoSpaceDN w:val="0"/>
        <w:adjustRightInd w:val="0"/>
        <w:spacing w:after="120" w:line="240" w:lineRule="auto"/>
        <w:rPr>
          <w:rFonts w:ascii="Times New Roman" w:hAnsi="Times New Roman"/>
          <w:sz w:val="24"/>
          <w:szCs w:val="24"/>
        </w:rPr>
      </w:pPr>
      <w:r w:rsidRPr="00533550">
        <w:rPr>
          <w:rFonts w:ascii="Times New Roman" w:hAnsi="Times New Roman"/>
          <w:sz w:val="24"/>
          <w:szCs w:val="24"/>
        </w:rPr>
        <w:t>243)</w:t>
      </w:r>
    </w:p>
    <w:p w14:paraId="14B18C27" w14:textId="77777777" w:rsidR="00A82F21" w:rsidRPr="00533550" w:rsidRDefault="00A82F21" w:rsidP="00A82F21">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lastRenderedPageBreak/>
        <w:t>Describe how the state is using funds under Section 243 to s</w:t>
      </w:r>
      <w:r w:rsidR="00955125" w:rsidRPr="00533550">
        <w:rPr>
          <w:rFonts w:ascii="Times New Roman" w:hAnsi="Times New Roman"/>
          <w:i/>
          <w:sz w:val="24"/>
          <w:szCs w:val="24"/>
        </w:rPr>
        <w:t xml:space="preserve">upport the following activities </w:t>
      </w:r>
      <w:r w:rsidRPr="00533550">
        <w:rPr>
          <w:rFonts w:ascii="Times New Roman" w:hAnsi="Times New Roman"/>
          <w:i/>
          <w:sz w:val="24"/>
          <w:szCs w:val="24"/>
        </w:rPr>
        <w:t>under the IELCE program:</w:t>
      </w:r>
    </w:p>
    <w:p w14:paraId="7A5A6F35" w14:textId="77777777" w:rsidR="00A82F21"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i/>
          <w:sz w:val="24"/>
          <w:szCs w:val="24"/>
        </w:rPr>
      </w:pPr>
      <w:r w:rsidRPr="00533550">
        <w:rPr>
          <w:rFonts w:ascii="Times New Roman" w:hAnsi="Times New Roman"/>
          <w:i/>
          <w:sz w:val="24"/>
          <w:szCs w:val="24"/>
        </w:rPr>
        <w:t>Describe when your State held a competition [th</w:t>
      </w:r>
      <w:r w:rsidR="00955125" w:rsidRPr="00533550">
        <w:rPr>
          <w:rFonts w:ascii="Times New Roman" w:hAnsi="Times New Roman"/>
          <w:i/>
          <w:sz w:val="24"/>
          <w:szCs w:val="24"/>
        </w:rPr>
        <w:t xml:space="preserve">e latest competition] for IELCE </w:t>
      </w:r>
      <w:r w:rsidRPr="00533550">
        <w:rPr>
          <w:rFonts w:ascii="Times New Roman" w:hAnsi="Times New Roman"/>
          <w:i/>
          <w:sz w:val="24"/>
          <w:szCs w:val="24"/>
        </w:rPr>
        <w:t>program funds and the number of grants awarded by your State to support IELCE</w:t>
      </w:r>
      <w:r w:rsidR="00955125" w:rsidRPr="00533550">
        <w:rPr>
          <w:rFonts w:ascii="Times New Roman" w:hAnsi="Times New Roman"/>
          <w:i/>
          <w:sz w:val="24"/>
          <w:szCs w:val="24"/>
        </w:rPr>
        <w:t xml:space="preserve"> </w:t>
      </w:r>
      <w:r w:rsidRPr="00533550">
        <w:rPr>
          <w:rFonts w:ascii="Times New Roman" w:hAnsi="Times New Roman"/>
          <w:i/>
          <w:sz w:val="24"/>
          <w:szCs w:val="24"/>
        </w:rPr>
        <w:t>programs.</w:t>
      </w:r>
    </w:p>
    <w:p w14:paraId="7A69498C" w14:textId="77777777" w:rsidR="00A82F21"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i/>
          <w:sz w:val="24"/>
          <w:szCs w:val="24"/>
        </w:rPr>
      </w:pPr>
      <w:r w:rsidRPr="00533550">
        <w:rPr>
          <w:rFonts w:ascii="Times New Roman" w:hAnsi="Times New Roman"/>
          <w:i/>
          <w:sz w:val="24"/>
          <w:szCs w:val="24"/>
        </w:rPr>
        <w:t>Describe your State efforts in meeting the requirement to provide IELCE services in</w:t>
      </w:r>
      <w:r w:rsidR="00955125" w:rsidRPr="00533550">
        <w:rPr>
          <w:rFonts w:ascii="Times New Roman" w:hAnsi="Times New Roman"/>
          <w:i/>
          <w:sz w:val="24"/>
          <w:szCs w:val="24"/>
        </w:rPr>
        <w:t xml:space="preserve"> </w:t>
      </w:r>
      <w:r w:rsidRPr="00533550">
        <w:rPr>
          <w:rFonts w:ascii="Times New Roman" w:hAnsi="Times New Roman"/>
          <w:i/>
          <w:sz w:val="24"/>
          <w:szCs w:val="24"/>
        </w:rPr>
        <w:t>combination with integrated education and training activities;</w:t>
      </w:r>
    </w:p>
    <w:p w14:paraId="34378575" w14:textId="77777777" w:rsidR="00A82F21"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i/>
          <w:sz w:val="24"/>
          <w:szCs w:val="24"/>
        </w:rPr>
      </w:pPr>
      <w:r w:rsidRPr="00533550">
        <w:rPr>
          <w:rFonts w:ascii="Times New Roman" w:hAnsi="Times New Roman"/>
          <w:i/>
          <w:sz w:val="24"/>
          <w:szCs w:val="24"/>
        </w:rPr>
        <w:t>Describe how the State is progressing towards program goals of preparing and placing</w:t>
      </w:r>
      <w:r w:rsidR="00955125" w:rsidRPr="00533550">
        <w:rPr>
          <w:rFonts w:ascii="Times New Roman" w:hAnsi="Times New Roman"/>
          <w:i/>
          <w:sz w:val="24"/>
          <w:szCs w:val="24"/>
        </w:rPr>
        <w:t xml:space="preserve"> </w:t>
      </w:r>
      <w:r w:rsidRPr="00533550">
        <w:rPr>
          <w:rFonts w:ascii="Times New Roman" w:hAnsi="Times New Roman"/>
          <w:i/>
          <w:sz w:val="24"/>
          <w:szCs w:val="24"/>
        </w:rPr>
        <w:t>IELCE program participants in unsubsidized employment in in-demand industries and</w:t>
      </w:r>
      <w:r w:rsidR="00955125" w:rsidRPr="00533550">
        <w:rPr>
          <w:rFonts w:ascii="Times New Roman" w:hAnsi="Times New Roman"/>
          <w:i/>
          <w:sz w:val="24"/>
          <w:szCs w:val="24"/>
        </w:rPr>
        <w:t xml:space="preserve"> </w:t>
      </w:r>
      <w:r w:rsidRPr="00533550">
        <w:rPr>
          <w:rFonts w:ascii="Times New Roman" w:hAnsi="Times New Roman"/>
          <w:i/>
          <w:sz w:val="24"/>
          <w:szCs w:val="24"/>
        </w:rPr>
        <w:t>occupations that lead to economic self-sufficiency as described in section 243(c)(1) and</w:t>
      </w:r>
      <w:r w:rsidR="00955125" w:rsidRPr="00533550">
        <w:rPr>
          <w:rFonts w:ascii="Times New Roman" w:hAnsi="Times New Roman"/>
          <w:i/>
          <w:sz w:val="24"/>
          <w:szCs w:val="24"/>
        </w:rPr>
        <w:t xml:space="preserve"> </w:t>
      </w:r>
      <w:r w:rsidRPr="00533550">
        <w:rPr>
          <w:rFonts w:ascii="Times New Roman" w:hAnsi="Times New Roman"/>
          <w:i/>
          <w:sz w:val="24"/>
          <w:szCs w:val="24"/>
        </w:rPr>
        <w:t>discuss any performance results, challenges, and lessons learned from implementing</w:t>
      </w:r>
      <w:r w:rsidR="00955125" w:rsidRPr="00533550">
        <w:rPr>
          <w:rFonts w:ascii="Times New Roman" w:hAnsi="Times New Roman"/>
          <w:i/>
          <w:sz w:val="24"/>
          <w:szCs w:val="24"/>
        </w:rPr>
        <w:t xml:space="preserve"> </w:t>
      </w:r>
      <w:r w:rsidRPr="00533550">
        <w:rPr>
          <w:rFonts w:ascii="Times New Roman" w:hAnsi="Times New Roman"/>
          <w:i/>
          <w:sz w:val="24"/>
          <w:szCs w:val="24"/>
        </w:rPr>
        <w:t>those program goals; and</w:t>
      </w:r>
    </w:p>
    <w:p w14:paraId="5107AE3F" w14:textId="77777777" w:rsidR="004D1D86" w:rsidRPr="00533550" w:rsidRDefault="00A82F21" w:rsidP="00955125">
      <w:pPr>
        <w:pStyle w:val="ListParagraph"/>
        <w:numPr>
          <w:ilvl w:val="0"/>
          <w:numId w:val="3"/>
        </w:numPr>
        <w:autoSpaceDE w:val="0"/>
        <w:autoSpaceDN w:val="0"/>
        <w:adjustRightInd w:val="0"/>
        <w:spacing w:after="0" w:line="240" w:lineRule="auto"/>
        <w:ind w:hanging="270"/>
        <w:rPr>
          <w:rFonts w:ascii="Times New Roman" w:hAnsi="Times New Roman"/>
          <w:sz w:val="24"/>
          <w:szCs w:val="24"/>
        </w:rPr>
      </w:pPr>
      <w:r w:rsidRPr="00533550">
        <w:rPr>
          <w:rFonts w:ascii="Times New Roman" w:hAnsi="Times New Roman"/>
          <w:i/>
          <w:sz w:val="24"/>
          <w:szCs w:val="24"/>
        </w:rPr>
        <w:t>Describe how the State is progressing towards program goals of ensuring that IELCE</w:t>
      </w:r>
      <w:r w:rsidR="00955125" w:rsidRPr="00533550">
        <w:rPr>
          <w:rFonts w:ascii="Times New Roman" w:hAnsi="Times New Roman"/>
          <w:i/>
          <w:sz w:val="24"/>
          <w:szCs w:val="24"/>
        </w:rPr>
        <w:t xml:space="preserve"> </w:t>
      </w:r>
      <w:r w:rsidRPr="00533550">
        <w:rPr>
          <w:rFonts w:ascii="Times New Roman" w:hAnsi="Times New Roman"/>
          <w:i/>
          <w:sz w:val="24"/>
          <w:szCs w:val="24"/>
        </w:rPr>
        <w:t>program activities are integrated with the local workforce development system and its</w:t>
      </w:r>
      <w:r w:rsidR="00955125" w:rsidRPr="00533550">
        <w:rPr>
          <w:rFonts w:ascii="Times New Roman" w:hAnsi="Times New Roman"/>
          <w:i/>
          <w:sz w:val="24"/>
          <w:szCs w:val="24"/>
        </w:rPr>
        <w:t xml:space="preserve"> </w:t>
      </w:r>
      <w:r w:rsidRPr="00533550">
        <w:rPr>
          <w:rFonts w:ascii="Times New Roman" w:hAnsi="Times New Roman"/>
          <w:i/>
          <w:sz w:val="24"/>
          <w:szCs w:val="24"/>
        </w:rPr>
        <w:t>functions as described in section 243(c)(2) and discuss any performance results,</w:t>
      </w:r>
      <w:r w:rsidR="00955125" w:rsidRPr="00533550">
        <w:rPr>
          <w:rFonts w:ascii="Times New Roman" w:hAnsi="Times New Roman"/>
          <w:i/>
          <w:sz w:val="24"/>
          <w:szCs w:val="24"/>
        </w:rPr>
        <w:t xml:space="preserve"> </w:t>
      </w:r>
      <w:r w:rsidRPr="00533550">
        <w:rPr>
          <w:rFonts w:ascii="Times New Roman" w:hAnsi="Times New Roman"/>
          <w:i/>
          <w:sz w:val="24"/>
          <w:szCs w:val="24"/>
        </w:rPr>
        <w:t>challenges, and lessons learned from implementing those program goals.</w:t>
      </w:r>
    </w:p>
    <w:p w14:paraId="2EB49170" w14:textId="77777777" w:rsidR="00955125" w:rsidRPr="00533550" w:rsidRDefault="00955125" w:rsidP="00A82F21">
      <w:pPr>
        <w:pStyle w:val="BodyText"/>
        <w:rPr>
          <w:rFonts w:eastAsia="Arial Unicode MS"/>
          <w:szCs w:val="24"/>
        </w:rPr>
      </w:pPr>
    </w:p>
    <w:p w14:paraId="603C3467" w14:textId="590FE11E" w:rsidR="000A2EAF" w:rsidRPr="00533550" w:rsidRDefault="008F0855" w:rsidP="000A2EAF">
      <w:pPr>
        <w:pStyle w:val="BodyText"/>
        <w:spacing w:after="120"/>
        <w:rPr>
          <w:rFonts w:eastAsia="Arial Unicode MS"/>
          <w:szCs w:val="24"/>
        </w:rPr>
      </w:pPr>
      <w:r w:rsidRPr="00533550">
        <w:rPr>
          <w:rFonts w:eastAsia="Arial Unicode MS"/>
          <w:szCs w:val="24"/>
        </w:rPr>
        <w:t>HIDOE is currently in the developmental stage of constructing an IELCE statewide program</w:t>
      </w:r>
      <w:r w:rsidR="00313485" w:rsidRPr="00533550">
        <w:rPr>
          <w:rFonts w:eastAsia="Arial Unicode MS"/>
          <w:szCs w:val="24"/>
        </w:rPr>
        <w:t xml:space="preserve"> by investigating </w:t>
      </w:r>
      <w:r w:rsidRPr="00533550">
        <w:rPr>
          <w:rFonts w:eastAsia="Arial Unicode MS"/>
          <w:szCs w:val="24"/>
        </w:rPr>
        <w:t xml:space="preserve">research-based evidence for </w:t>
      </w:r>
      <w:r w:rsidR="000A2EAF" w:rsidRPr="00533550">
        <w:rPr>
          <w:rFonts w:eastAsia="Arial Unicode MS"/>
          <w:szCs w:val="24"/>
        </w:rPr>
        <w:t xml:space="preserve">multi-level IELCE courses to meet the needs of our students in developing their English language skills and adjusting to life in Hawaii. </w:t>
      </w:r>
      <w:r w:rsidR="009F0EBA" w:rsidRPr="00533550">
        <w:rPr>
          <w:rFonts w:eastAsia="Arial Unicode MS"/>
          <w:szCs w:val="24"/>
        </w:rPr>
        <w:t xml:space="preserve">Ultimately, the </w:t>
      </w:r>
      <w:r w:rsidR="00652CAC" w:rsidRPr="00533550">
        <w:rPr>
          <w:rFonts w:eastAsia="Arial Unicode MS"/>
          <w:szCs w:val="24"/>
        </w:rPr>
        <w:t>outcome is</w:t>
      </w:r>
      <w:r w:rsidR="000A2EAF" w:rsidRPr="00533550">
        <w:rPr>
          <w:rFonts w:eastAsia="Arial Unicode MS"/>
          <w:szCs w:val="24"/>
        </w:rPr>
        <w:t xml:space="preserve"> to strengthen the focus on a transition to postsecondary education opportunities and employment, allowing students who need a high school diploma the opportunity to earn a community school diploma.  The </w:t>
      </w:r>
      <w:r w:rsidR="00946A5D" w:rsidRPr="00533550">
        <w:rPr>
          <w:rFonts w:eastAsia="Arial Unicode MS"/>
          <w:szCs w:val="24"/>
        </w:rPr>
        <w:t xml:space="preserve">local agencies </w:t>
      </w:r>
      <w:r w:rsidR="008A615C">
        <w:rPr>
          <w:rFonts w:eastAsia="Arial Unicode MS"/>
          <w:szCs w:val="24"/>
        </w:rPr>
        <w:t>implemented</w:t>
      </w:r>
      <w:r w:rsidR="000A2EAF" w:rsidRPr="00533550">
        <w:rPr>
          <w:rFonts w:eastAsia="Arial Unicode MS"/>
          <w:szCs w:val="24"/>
        </w:rPr>
        <w:t xml:space="preserve"> </w:t>
      </w:r>
      <w:r w:rsidR="000A2EAF" w:rsidRPr="00533550">
        <w:rPr>
          <w:rFonts w:eastAsia="Arial Unicode MS"/>
          <w:i/>
          <w:szCs w:val="24"/>
        </w:rPr>
        <w:t>BurlingtonEnglish</w:t>
      </w:r>
      <w:r w:rsidR="000A2EAF" w:rsidRPr="00533550">
        <w:rPr>
          <w:rFonts w:eastAsia="Arial Unicode MS"/>
          <w:szCs w:val="24"/>
        </w:rPr>
        <w:t xml:space="preserve">, a computer-based program, to help </w:t>
      </w:r>
      <w:r w:rsidR="008A615C">
        <w:rPr>
          <w:rFonts w:eastAsia="Arial Unicode MS"/>
          <w:szCs w:val="24"/>
        </w:rPr>
        <w:t>IELCE</w:t>
      </w:r>
      <w:r w:rsidR="000A2EAF" w:rsidRPr="00533550">
        <w:rPr>
          <w:rFonts w:eastAsia="Arial Unicode MS"/>
          <w:szCs w:val="24"/>
        </w:rPr>
        <w:t xml:space="preserve"> students improve their English language skills, develop digital literacy skills, and obtain the skills necessary to succeed in the workplace.</w:t>
      </w:r>
    </w:p>
    <w:p w14:paraId="00B32E89" w14:textId="144DCDF0" w:rsidR="008F200C" w:rsidRPr="00533550" w:rsidRDefault="009F0EBA" w:rsidP="008F200C">
      <w:pPr>
        <w:pStyle w:val="BodyText"/>
        <w:rPr>
          <w:szCs w:val="24"/>
        </w:rPr>
      </w:pPr>
      <w:r w:rsidRPr="00533550">
        <w:rPr>
          <w:rFonts w:eastAsia="Arial Unicode MS"/>
          <w:szCs w:val="24"/>
        </w:rPr>
        <w:t>The adult education program</w:t>
      </w:r>
      <w:r w:rsidR="008F200C" w:rsidRPr="00533550">
        <w:rPr>
          <w:rFonts w:eastAsia="Arial Unicode MS"/>
          <w:szCs w:val="24"/>
        </w:rPr>
        <w:t xml:space="preserve"> provide</w:t>
      </w:r>
      <w:r w:rsidRPr="00533550">
        <w:rPr>
          <w:rFonts w:eastAsia="Arial Unicode MS"/>
          <w:szCs w:val="24"/>
        </w:rPr>
        <w:t>s</w:t>
      </w:r>
      <w:r w:rsidR="008F200C" w:rsidRPr="00533550">
        <w:rPr>
          <w:rFonts w:eastAsia="Arial Unicode MS"/>
          <w:szCs w:val="24"/>
        </w:rPr>
        <w:t xml:space="preserve"> a number of opportunities for </w:t>
      </w:r>
      <w:r w:rsidR="008A615C">
        <w:rPr>
          <w:rFonts w:eastAsia="Arial Unicode MS"/>
          <w:szCs w:val="24"/>
        </w:rPr>
        <w:t>IELCE</w:t>
      </w:r>
      <w:r w:rsidR="008F200C" w:rsidRPr="00533550">
        <w:rPr>
          <w:rFonts w:eastAsia="Arial Unicode MS"/>
          <w:szCs w:val="24"/>
        </w:rPr>
        <w:t xml:space="preserve"> students to improve their English language skills and </w:t>
      </w:r>
      <w:r w:rsidR="008F200C" w:rsidRPr="00533550">
        <w:rPr>
          <w:szCs w:val="24"/>
        </w:rPr>
        <w:t xml:space="preserve">to learn to effectively participate in education, work, and civic opportunities in Hawaii.  </w:t>
      </w:r>
      <w:r w:rsidR="00EE3212" w:rsidRPr="00533550">
        <w:rPr>
          <w:rFonts w:eastAsia="Arial Unicode MS"/>
          <w:szCs w:val="24"/>
        </w:rPr>
        <w:t>The</w:t>
      </w:r>
      <w:r w:rsidR="008F200C" w:rsidRPr="00533550">
        <w:rPr>
          <w:rFonts w:eastAsia="Arial Unicode MS"/>
          <w:szCs w:val="24"/>
        </w:rPr>
        <w:t xml:space="preserve"> CSAs offer courses withi</w:t>
      </w:r>
      <w:r w:rsidR="000820B0" w:rsidRPr="00533550">
        <w:rPr>
          <w:rFonts w:eastAsia="Arial Unicode MS"/>
          <w:szCs w:val="24"/>
        </w:rPr>
        <w:t>n the communities</w:t>
      </w:r>
      <w:r w:rsidR="00EE3212" w:rsidRPr="00533550">
        <w:rPr>
          <w:rFonts w:eastAsia="Arial Unicode MS"/>
          <w:szCs w:val="24"/>
        </w:rPr>
        <w:t>, such as</w:t>
      </w:r>
      <w:r w:rsidR="000820B0" w:rsidRPr="00533550">
        <w:rPr>
          <w:rFonts w:eastAsia="Arial Unicode MS"/>
          <w:szCs w:val="24"/>
        </w:rPr>
        <w:t xml:space="preserve"> at churches and</w:t>
      </w:r>
      <w:r w:rsidR="008F200C" w:rsidRPr="00533550">
        <w:rPr>
          <w:rFonts w:eastAsia="Arial Unicode MS"/>
          <w:szCs w:val="24"/>
        </w:rPr>
        <w:t xml:space="preserve"> community centers</w:t>
      </w:r>
      <w:r w:rsidR="00EE3212" w:rsidRPr="00533550">
        <w:rPr>
          <w:rFonts w:eastAsia="Arial Unicode MS"/>
          <w:szCs w:val="24"/>
        </w:rPr>
        <w:t>,</w:t>
      </w:r>
      <w:r w:rsidR="008F200C" w:rsidRPr="00533550">
        <w:rPr>
          <w:rFonts w:eastAsia="Arial Unicode MS"/>
          <w:szCs w:val="24"/>
        </w:rPr>
        <w:t xml:space="preserve"> </w:t>
      </w:r>
      <w:r w:rsidR="00EE3212" w:rsidRPr="00533550">
        <w:rPr>
          <w:rFonts w:eastAsia="Arial Unicode MS"/>
          <w:szCs w:val="24"/>
        </w:rPr>
        <w:t xml:space="preserve">to meet student needs and have </w:t>
      </w:r>
      <w:r w:rsidR="008F200C" w:rsidRPr="00533550">
        <w:rPr>
          <w:rFonts w:eastAsia="Arial Unicode MS"/>
          <w:szCs w:val="24"/>
        </w:rPr>
        <w:t xml:space="preserve">established partnerships with a number of community-based agencies to serve its large urban </w:t>
      </w:r>
      <w:r w:rsidR="00610294">
        <w:rPr>
          <w:rFonts w:eastAsia="Arial Unicode MS"/>
          <w:szCs w:val="24"/>
        </w:rPr>
        <w:t>English language learner</w:t>
      </w:r>
      <w:r w:rsidR="008F200C" w:rsidRPr="00533550">
        <w:rPr>
          <w:rFonts w:eastAsia="Arial Unicode MS"/>
          <w:szCs w:val="24"/>
        </w:rPr>
        <w:t xml:space="preserve"> population.  With the increase in Hawaii</w:t>
      </w:r>
      <w:r w:rsidRPr="00533550">
        <w:rPr>
          <w:rFonts w:eastAsia="Arial Unicode MS"/>
          <w:szCs w:val="24"/>
        </w:rPr>
        <w:t xml:space="preserve">’s migrant population, the local agencies </w:t>
      </w:r>
      <w:r w:rsidR="006E3FC4" w:rsidRPr="00533550">
        <w:rPr>
          <w:rFonts w:eastAsia="Arial Unicode MS"/>
          <w:szCs w:val="24"/>
        </w:rPr>
        <w:t>continue</w:t>
      </w:r>
      <w:r w:rsidR="008F200C" w:rsidRPr="00533550">
        <w:rPr>
          <w:rFonts w:eastAsia="Arial Unicode MS"/>
          <w:szCs w:val="24"/>
        </w:rPr>
        <w:t xml:space="preserve"> to improve their courses to ensure students are able to increase in functioning levels and become productive members of society.</w:t>
      </w:r>
      <w:r w:rsidR="005868F9" w:rsidRPr="00533550">
        <w:rPr>
          <w:rFonts w:eastAsia="Arial Unicode MS"/>
          <w:szCs w:val="24"/>
        </w:rPr>
        <w:t xml:space="preserve">  The CSAs also maintain a partnership with the U.S. </w:t>
      </w:r>
      <w:r w:rsidR="00F85953" w:rsidRPr="00533550">
        <w:rPr>
          <w:rFonts w:eastAsia="Arial Unicode MS"/>
          <w:szCs w:val="24"/>
        </w:rPr>
        <w:t xml:space="preserve">Citizenship and </w:t>
      </w:r>
      <w:r w:rsidR="005868F9" w:rsidRPr="00533550">
        <w:rPr>
          <w:rFonts w:eastAsia="Arial Unicode MS"/>
          <w:szCs w:val="24"/>
        </w:rPr>
        <w:t>Immigration Services</w:t>
      </w:r>
      <w:r w:rsidR="00F85953" w:rsidRPr="00533550">
        <w:rPr>
          <w:rFonts w:eastAsia="Arial Unicode MS"/>
          <w:szCs w:val="24"/>
        </w:rPr>
        <w:t xml:space="preserve"> (USCIS)</w:t>
      </w:r>
      <w:r w:rsidR="00071E85" w:rsidRPr="00533550">
        <w:rPr>
          <w:rFonts w:eastAsia="Arial Unicode MS"/>
          <w:szCs w:val="24"/>
        </w:rPr>
        <w:t xml:space="preserve"> to continue to support its needs.</w:t>
      </w:r>
      <w:r w:rsidR="008F200C" w:rsidRPr="00533550">
        <w:rPr>
          <w:rFonts w:eastAsia="Arial Unicode MS"/>
          <w:szCs w:val="24"/>
        </w:rPr>
        <w:t xml:space="preserve">  The CSAs serviced </w:t>
      </w:r>
      <w:r w:rsidR="00E962FA" w:rsidRPr="00E962FA">
        <w:rPr>
          <w:rFonts w:eastAsia="Arial Unicode MS"/>
          <w:szCs w:val="24"/>
        </w:rPr>
        <w:t>1,556</w:t>
      </w:r>
      <w:r w:rsidR="00444112" w:rsidRPr="00533550">
        <w:rPr>
          <w:rFonts w:eastAsia="Arial Unicode MS"/>
          <w:szCs w:val="24"/>
        </w:rPr>
        <w:t xml:space="preserve"> </w:t>
      </w:r>
      <w:r w:rsidR="008A615C">
        <w:rPr>
          <w:rFonts w:eastAsia="Arial Unicode MS"/>
          <w:szCs w:val="24"/>
        </w:rPr>
        <w:t>IELCE</w:t>
      </w:r>
      <w:r w:rsidR="00444112" w:rsidRPr="00533550">
        <w:rPr>
          <w:rFonts w:eastAsia="Arial Unicode MS"/>
          <w:szCs w:val="24"/>
        </w:rPr>
        <w:t xml:space="preserve"> students in PY </w:t>
      </w:r>
      <w:r w:rsidR="008A4C09">
        <w:rPr>
          <w:rFonts w:eastAsia="Arial Unicode MS"/>
          <w:szCs w:val="24"/>
        </w:rPr>
        <w:t>2016-17</w:t>
      </w:r>
      <w:r w:rsidR="008F200C" w:rsidRPr="00533550">
        <w:rPr>
          <w:rFonts w:eastAsia="Arial Unicode MS"/>
          <w:szCs w:val="24"/>
        </w:rPr>
        <w:t>.</w:t>
      </w:r>
      <w:r w:rsidR="008F200C" w:rsidRPr="00533550">
        <w:rPr>
          <w:szCs w:val="24"/>
        </w:rPr>
        <w:t xml:space="preserve"> </w:t>
      </w:r>
    </w:p>
    <w:p w14:paraId="750CEC72" w14:textId="77777777" w:rsidR="002F066F" w:rsidRPr="00533550" w:rsidRDefault="002F066F" w:rsidP="00A96FB7">
      <w:pPr>
        <w:pStyle w:val="NoSpacing"/>
        <w:rPr>
          <w:rFonts w:ascii="Times New Roman" w:hAnsi="Times New Roman"/>
          <w:sz w:val="24"/>
          <w:szCs w:val="24"/>
        </w:rPr>
      </w:pPr>
    </w:p>
    <w:p w14:paraId="0BD7D7D7" w14:textId="77777777" w:rsidR="00D36536" w:rsidRPr="00533550" w:rsidRDefault="00D36536" w:rsidP="00D36536">
      <w:pPr>
        <w:autoSpaceDE w:val="0"/>
        <w:autoSpaceDN w:val="0"/>
        <w:adjustRightInd w:val="0"/>
        <w:spacing w:after="120" w:line="240" w:lineRule="auto"/>
        <w:rPr>
          <w:rFonts w:ascii="Times New Roman" w:hAnsi="Times New Roman"/>
          <w:b/>
          <w:bCs/>
          <w:sz w:val="24"/>
          <w:szCs w:val="24"/>
        </w:rPr>
      </w:pPr>
      <w:r w:rsidRPr="00533550">
        <w:rPr>
          <w:rFonts w:ascii="Times New Roman" w:hAnsi="Times New Roman"/>
          <w:b/>
          <w:bCs/>
          <w:sz w:val="24"/>
          <w:szCs w:val="24"/>
        </w:rPr>
        <w:t>5. Adult Education Standards</w:t>
      </w:r>
    </w:p>
    <w:p w14:paraId="72800CDF" w14:textId="77777777" w:rsidR="00D36536" w:rsidRPr="00533550" w:rsidRDefault="00D36536" w:rsidP="00D36536">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If your State has adopted new challenging K-12 standards under title I of the Elementary and Secondary Education Act of 1965, as amended, describe how your Adult Education content standards are aligned with those K-12 standards.</w:t>
      </w:r>
    </w:p>
    <w:p w14:paraId="357AC8F0" w14:textId="77777777" w:rsidR="004D1D86" w:rsidRPr="00533550" w:rsidRDefault="00D36536" w:rsidP="00D36536">
      <w:pPr>
        <w:pStyle w:val="NoSpacing"/>
        <w:numPr>
          <w:ilvl w:val="0"/>
          <w:numId w:val="3"/>
        </w:numPr>
        <w:ind w:hanging="270"/>
        <w:rPr>
          <w:rFonts w:ascii="Times New Roman" w:hAnsi="Times New Roman"/>
          <w:sz w:val="24"/>
          <w:szCs w:val="24"/>
        </w:rPr>
      </w:pPr>
      <w:r w:rsidRPr="00533550">
        <w:rPr>
          <w:rFonts w:ascii="Times New Roman" w:hAnsi="Times New Roman"/>
          <w:i/>
          <w:sz w:val="24"/>
          <w:szCs w:val="24"/>
        </w:rPr>
        <w:t>Optional – Describe implementation efforts, challenges, and any lessons learned.</w:t>
      </w:r>
    </w:p>
    <w:p w14:paraId="427B77D4" w14:textId="77777777" w:rsidR="00D36536" w:rsidRPr="00533550" w:rsidRDefault="00D36536" w:rsidP="00A96FB7">
      <w:pPr>
        <w:pStyle w:val="NoSpacing"/>
        <w:rPr>
          <w:rFonts w:ascii="Times New Roman" w:eastAsia="Arial Unicode MS" w:hAnsi="Times New Roman"/>
          <w:sz w:val="24"/>
          <w:szCs w:val="24"/>
        </w:rPr>
      </w:pPr>
    </w:p>
    <w:p w14:paraId="15B0D549" w14:textId="371DC542" w:rsidR="00646B88" w:rsidRPr="00533550" w:rsidRDefault="0076271B" w:rsidP="00A96FB7">
      <w:pPr>
        <w:pStyle w:val="NoSpacing"/>
        <w:rPr>
          <w:rFonts w:ascii="Times New Roman" w:hAnsi="Times New Roman"/>
          <w:sz w:val="24"/>
          <w:szCs w:val="24"/>
        </w:rPr>
      </w:pPr>
      <w:r w:rsidRPr="00533550">
        <w:rPr>
          <w:rFonts w:ascii="Times New Roman" w:eastAsia="Arial Unicode MS" w:hAnsi="Times New Roman"/>
          <w:sz w:val="24"/>
          <w:szCs w:val="24"/>
        </w:rPr>
        <w:t xml:space="preserve">In PY </w:t>
      </w:r>
      <w:r w:rsidR="008A4C09">
        <w:rPr>
          <w:rFonts w:ascii="Times New Roman" w:eastAsia="Arial Unicode MS" w:hAnsi="Times New Roman"/>
          <w:sz w:val="24"/>
          <w:szCs w:val="24"/>
        </w:rPr>
        <w:t>2016-17</w:t>
      </w:r>
      <w:r w:rsidRPr="00533550">
        <w:rPr>
          <w:rFonts w:ascii="Times New Roman" w:eastAsia="Arial Unicode MS" w:hAnsi="Times New Roman"/>
          <w:sz w:val="24"/>
          <w:szCs w:val="24"/>
        </w:rPr>
        <w:t xml:space="preserve">, the </w:t>
      </w:r>
      <w:r w:rsidR="0012378C" w:rsidRPr="00533550">
        <w:rPr>
          <w:rFonts w:ascii="Times New Roman" w:eastAsia="Arial Unicode MS" w:hAnsi="Times New Roman"/>
          <w:sz w:val="24"/>
          <w:szCs w:val="24"/>
        </w:rPr>
        <w:t xml:space="preserve">local agencies </w:t>
      </w:r>
      <w:r w:rsidR="00322FCC" w:rsidRPr="00533550">
        <w:rPr>
          <w:rFonts w:ascii="Times New Roman" w:eastAsia="Arial Unicode MS" w:hAnsi="Times New Roman"/>
          <w:sz w:val="24"/>
          <w:szCs w:val="24"/>
        </w:rPr>
        <w:t>continued with</w:t>
      </w:r>
      <w:r w:rsidRPr="00533550">
        <w:rPr>
          <w:rFonts w:ascii="Times New Roman" w:eastAsia="Arial Unicode MS" w:hAnsi="Times New Roman"/>
          <w:sz w:val="24"/>
          <w:szCs w:val="24"/>
        </w:rPr>
        <w:t xml:space="preserve"> the implementation of the newly adopted College and Career Readiness </w:t>
      </w:r>
      <w:r w:rsidR="009F0EBA" w:rsidRPr="00533550">
        <w:rPr>
          <w:rFonts w:ascii="Times New Roman" w:eastAsia="Arial Unicode MS" w:hAnsi="Times New Roman"/>
          <w:sz w:val="24"/>
          <w:szCs w:val="24"/>
        </w:rPr>
        <w:t xml:space="preserve">Standards </w:t>
      </w:r>
      <w:r w:rsidRPr="00533550">
        <w:rPr>
          <w:rFonts w:ascii="Times New Roman" w:eastAsia="Arial Unicode MS" w:hAnsi="Times New Roman"/>
          <w:sz w:val="24"/>
          <w:szCs w:val="24"/>
        </w:rPr>
        <w:t>(CCR</w:t>
      </w:r>
      <w:r w:rsidR="009F0EBA" w:rsidRPr="00533550">
        <w:rPr>
          <w:rFonts w:ascii="Times New Roman" w:eastAsia="Arial Unicode MS" w:hAnsi="Times New Roman"/>
          <w:sz w:val="24"/>
          <w:szCs w:val="24"/>
        </w:rPr>
        <w:t>S</w:t>
      </w:r>
      <w:r w:rsidRPr="00533550">
        <w:rPr>
          <w:rFonts w:ascii="Times New Roman" w:eastAsia="Arial Unicode MS" w:hAnsi="Times New Roman"/>
          <w:sz w:val="24"/>
          <w:szCs w:val="24"/>
        </w:rPr>
        <w:t>) for Adult Education, the adult education anchor standards, to better prepare students for post-second</w:t>
      </w:r>
      <w:r w:rsidR="00054C7D" w:rsidRPr="00533550">
        <w:rPr>
          <w:rFonts w:ascii="Times New Roman" w:eastAsia="Arial Unicode MS" w:hAnsi="Times New Roman"/>
          <w:sz w:val="24"/>
          <w:szCs w:val="24"/>
        </w:rPr>
        <w:t>ary education or the workforce as well as meet the WIOA requirement of alignment of standards.</w:t>
      </w:r>
      <w:r w:rsidR="009F0EBA" w:rsidRPr="00533550">
        <w:rPr>
          <w:rFonts w:ascii="Times New Roman" w:eastAsia="Arial Unicode MS" w:hAnsi="Times New Roman"/>
          <w:sz w:val="24"/>
          <w:szCs w:val="24"/>
        </w:rPr>
        <w:t xml:space="preserve"> The CCRS </w:t>
      </w:r>
      <w:r w:rsidRPr="00533550">
        <w:rPr>
          <w:rFonts w:ascii="Times New Roman" w:eastAsia="Arial Unicode MS" w:hAnsi="Times New Roman"/>
          <w:sz w:val="24"/>
          <w:szCs w:val="24"/>
        </w:rPr>
        <w:t xml:space="preserve">for Adult </w:t>
      </w:r>
      <w:r w:rsidR="009F0EBA" w:rsidRPr="00533550">
        <w:rPr>
          <w:rFonts w:ascii="Times New Roman" w:eastAsia="Arial Unicode MS" w:hAnsi="Times New Roman"/>
          <w:sz w:val="24"/>
          <w:szCs w:val="24"/>
        </w:rPr>
        <w:t xml:space="preserve">Education </w:t>
      </w:r>
      <w:r w:rsidR="009F0EBA" w:rsidRPr="00533550">
        <w:rPr>
          <w:rFonts w:ascii="Times New Roman" w:eastAsia="Arial Unicode MS" w:hAnsi="Times New Roman"/>
          <w:sz w:val="24"/>
          <w:szCs w:val="24"/>
        </w:rPr>
        <w:lastRenderedPageBreak/>
        <w:t xml:space="preserve">were developed by </w:t>
      </w:r>
      <w:r w:rsidR="00A00267" w:rsidRPr="00533550">
        <w:rPr>
          <w:rFonts w:ascii="Times New Roman" w:eastAsia="Arial Unicode MS" w:hAnsi="Times New Roman"/>
          <w:sz w:val="24"/>
          <w:szCs w:val="24"/>
        </w:rPr>
        <w:t>OCT</w:t>
      </w:r>
      <w:r w:rsidR="009F0EBA" w:rsidRPr="00533550">
        <w:rPr>
          <w:rFonts w:ascii="Times New Roman" w:eastAsia="Arial Unicode MS" w:hAnsi="Times New Roman"/>
          <w:sz w:val="24"/>
          <w:szCs w:val="24"/>
        </w:rPr>
        <w:t>AE</w:t>
      </w:r>
      <w:r w:rsidR="00FA121E" w:rsidRPr="00533550">
        <w:rPr>
          <w:rFonts w:ascii="Times New Roman" w:eastAsia="Arial Unicode MS" w:hAnsi="Times New Roman"/>
          <w:sz w:val="24"/>
          <w:szCs w:val="24"/>
        </w:rPr>
        <w:t xml:space="preserve">. </w:t>
      </w:r>
      <w:r w:rsidR="004B10C4">
        <w:rPr>
          <w:rFonts w:ascii="Times New Roman" w:eastAsia="Arial Unicode MS" w:hAnsi="Times New Roman"/>
          <w:sz w:val="24"/>
          <w:szCs w:val="24"/>
        </w:rPr>
        <w:t xml:space="preserve"> </w:t>
      </w:r>
      <w:r w:rsidR="009F0EBA" w:rsidRPr="00533550">
        <w:rPr>
          <w:rFonts w:ascii="Times New Roman" w:eastAsia="Arial Unicode MS" w:hAnsi="Times New Roman"/>
          <w:sz w:val="24"/>
          <w:szCs w:val="24"/>
        </w:rPr>
        <w:t>The CCR</w:t>
      </w:r>
      <w:r w:rsidRPr="00533550">
        <w:rPr>
          <w:rFonts w:ascii="Times New Roman" w:eastAsia="Arial Unicode MS" w:hAnsi="Times New Roman"/>
          <w:sz w:val="24"/>
          <w:szCs w:val="24"/>
        </w:rPr>
        <w:t xml:space="preserve">S </w:t>
      </w:r>
      <w:r w:rsidR="00FA121E" w:rsidRPr="00533550">
        <w:rPr>
          <w:rFonts w:ascii="Times New Roman" w:eastAsia="Arial Unicode MS" w:hAnsi="Times New Roman"/>
          <w:sz w:val="24"/>
          <w:szCs w:val="24"/>
        </w:rPr>
        <w:t xml:space="preserve">are being </w:t>
      </w:r>
      <w:r w:rsidRPr="00533550">
        <w:rPr>
          <w:rFonts w:ascii="Times New Roman" w:eastAsia="Arial Unicode MS" w:hAnsi="Times New Roman"/>
          <w:sz w:val="24"/>
          <w:szCs w:val="24"/>
        </w:rPr>
        <w:t xml:space="preserve">incorporated into the ABE, ASE, and </w:t>
      </w:r>
      <w:r w:rsidR="00946A5D" w:rsidRPr="00533550">
        <w:rPr>
          <w:rFonts w:ascii="Times New Roman" w:eastAsia="Arial Unicode MS" w:hAnsi="Times New Roman"/>
          <w:sz w:val="24"/>
          <w:szCs w:val="24"/>
        </w:rPr>
        <w:t xml:space="preserve">the emerging </w:t>
      </w:r>
      <w:r w:rsidR="00813ADD" w:rsidRPr="00533550">
        <w:rPr>
          <w:rFonts w:ascii="Times New Roman" w:eastAsia="Arial Unicode MS" w:hAnsi="Times New Roman"/>
          <w:sz w:val="24"/>
          <w:szCs w:val="24"/>
        </w:rPr>
        <w:t xml:space="preserve">IELCE </w:t>
      </w:r>
      <w:r w:rsidRPr="00533550">
        <w:rPr>
          <w:rFonts w:ascii="Times New Roman" w:eastAsia="Arial Unicode MS" w:hAnsi="Times New Roman"/>
          <w:sz w:val="24"/>
          <w:szCs w:val="24"/>
        </w:rPr>
        <w:t xml:space="preserve">curricula and </w:t>
      </w:r>
      <w:r w:rsidR="00322FCC" w:rsidRPr="00533550">
        <w:rPr>
          <w:rFonts w:ascii="Times New Roman" w:eastAsia="Arial Unicode MS" w:hAnsi="Times New Roman"/>
          <w:sz w:val="24"/>
          <w:szCs w:val="24"/>
        </w:rPr>
        <w:t xml:space="preserve">ongoing </w:t>
      </w:r>
      <w:r w:rsidRPr="00533550">
        <w:rPr>
          <w:rFonts w:ascii="Times New Roman" w:eastAsia="Arial Unicode MS" w:hAnsi="Times New Roman"/>
          <w:sz w:val="24"/>
          <w:szCs w:val="24"/>
        </w:rPr>
        <w:t xml:space="preserve">professional development </w:t>
      </w:r>
      <w:r w:rsidR="00322FCC" w:rsidRPr="00533550">
        <w:rPr>
          <w:rFonts w:ascii="Times New Roman" w:eastAsia="Arial Unicode MS" w:hAnsi="Times New Roman"/>
          <w:sz w:val="24"/>
          <w:szCs w:val="24"/>
        </w:rPr>
        <w:t>is being</w:t>
      </w:r>
      <w:r w:rsidRPr="00533550">
        <w:rPr>
          <w:rFonts w:ascii="Times New Roman" w:eastAsia="Arial Unicode MS" w:hAnsi="Times New Roman"/>
          <w:sz w:val="24"/>
          <w:szCs w:val="24"/>
        </w:rPr>
        <w:t xml:space="preserve"> provided for teach</w:t>
      </w:r>
      <w:r w:rsidR="00322FCC" w:rsidRPr="00533550">
        <w:rPr>
          <w:rFonts w:ascii="Times New Roman" w:eastAsia="Arial Unicode MS" w:hAnsi="Times New Roman"/>
          <w:sz w:val="24"/>
          <w:szCs w:val="24"/>
        </w:rPr>
        <w:t>ers to become familiar with the</w:t>
      </w:r>
      <w:r w:rsidR="009F0EBA" w:rsidRPr="00533550">
        <w:rPr>
          <w:rFonts w:ascii="Times New Roman" w:eastAsia="Arial Unicode MS" w:hAnsi="Times New Roman"/>
          <w:sz w:val="24"/>
          <w:szCs w:val="24"/>
        </w:rPr>
        <w:t xml:space="preserve"> newly-adopted </w:t>
      </w:r>
      <w:r w:rsidRPr="00533550">
        <w:rPr>
          <w:rFonts w:ascii="Times New Roman" w:eastAsia="Arial Unicode MS" w:hAnsi="Times New Roman"/>
          <w:sz w:val="24"/>
          <w:szCs w:val="24"/>
        </w:rPr>
        <w:t>standards and the curricular revisions</w:t>
      </w:r>
      <w:r w:rsidR="00322FCC" w:rsidRPr="00533550">
        <w:rPr>
          <w:rFonts w:ascii="Times New Roman" w:eastAsia="Arial Unicode MS" w:hAnsi="Times New Roman"/>
          <w:sz w:val="24"/>
          <w:szCs w:val="24"/>
        </w:rPr>
        <w:t xml:space="preserve">.  </w:t>
      </w:r>
      <w:r w:rsidR="00322FCC" w:rsidRPr="002D0198">
        <w:rPr>
          <w:rFonts w:ascii="Times New Roman" w:eastAsia="Arial Unicode MS" w:hAnsi="Times New Roman"/>
          <w:sz w:val="24"/>
          <w:szCs w:val="24"/>
        </w:rPr>
        <w:t xml:space="preserve">The new curricula was </w:t>
      </w:r>
      <w:r w:rsidRPr="002D0198">
        <w:rPr>
          <w:rFonts w:ascii="Times New Roman" w:eastAsia="Arial Unicode MS" w:hAnsi="Times New Roman"/>
          <w:sz w:val="24"/>
          <w:szCs w:val="24"/>
        </w:rPr>
        <w:t xml:space="preserve">piloted in PY </w:t>
      </w:r>
      <w:r w:rsidR="008A4C09" w:rsidRPr="002D0198">
        <w:rPr>
          <w:rFonts w:ascii="Times New Roman" w:eastAsia="Arial Unicode MS" w:hAnsi="Times New Roman"/>
          <w:sz w:val="24"/>
          <w:szCs w:val="24"/>
        </w:rPr>
        <w:t>2016-17</w:t>
      </w:r>
      <w:r w:rsidRPr="002D0198">
        <w:rPr>
          <w:rFonts w:ascii="Times New Roman" w:eastAsia="Arial Unicode MS" w:hAnsi="Times New Roman"/>
          <w:sz w:val="24"/>
          <w:szCs w:val="24"/>
        </w:rPr>
        <w:t xml:space="preserve"> </w:t>
      </w:r>
      <w:r w:rsidR="00322FCC" w:rsidRPr="002D0198">
        <w:rPr>
          <w:rFonts w:ascii="Times New Roman" w:eastAsia="Arial Unicode MS" w:hAnsi="Times New Roman"/>
          <w:sz w:val="24"/>
          <w:szCs w:val="24"/>
        </w:rPr>
        <w:t xml:space="preserve">and will be fully implemented beginning </w:t>
      </w:r>
      <w:r w:rsidR="00946A5D" w:rsidRPr="002D0198">
        <w:rPr>
          <w:rFonts w:ascii="Times New Roman" w:eastAsia="Arial Unicode MS" w:hAnsi="Times New Roman"/>
          <w:sz w:val="24"/>
          <w:szCs w:val="24"/>
        </w:rPr>
        <w:t xml:space="preserve">in </w:t>
      </w:r>
      <w:r w:rsidR="00322FCC" w:rsidRPr="002D0198">
        <w:rPr>
          <w:rFonts w:ascii="Times New Roman" w:eastAsia="Arial Unicode MS" w:hAnsi="Times New Roman"/>
          <w:sz w:val="24"/>
          <w:szCs w:val="24"/>
        </w:rPr>
        <w:t>SY 2017-18</w:t>
      </w:r>
      <w:r w:rsidRPr="002D0198">
        <w:rPr>
          <w:rFonts w:ascii="Times New Roman" w:eastAsia="Arial Unicode MS" w:hAnsi="Times New Roman"/>
          <w:sz w:val="24"/>
          <w:szCs w:val="24"/>
        </w:rPr>
        <w:t>.</w:t>
      </w:r>
      <w:r w:rsidRPr="00533550">
        <w:rPr>
          <w:rFonts w:ascii="Times New Roman" w:eastAsia="Arial Unicode MS" w:hAnsi="Times New Roman"/>
          <w:sz w:val="24"/>
          <w:szCs w:val="24"/>
        </w:rPr>
        <w:t xml:space="preserve">  With the adoption of the </w:t>
      </w:r>
      <w:r w:rsidR="00F961D8" w:rsidRPr="00533550">
        <w:rPr>
          <w:rFonts w:ascii="Times New Roman" w:eastAsia="Arial Unicode MS" w:hAnsi="Times New Roman"/>
          <w:sz w:val="24"/>
          <w:szCs w:val="24"/>
        </w:rPr>
        <w:t>Common Core State Standards (</w:t>
      </w:r>
      <w:r w:rsidRPr="00533550">
        <w:rPr>
          <w:rFonts w:ascii="Times New Roman" w:eastAsia="Arial Unicode MS" w:hAnsi="Times New Roman"/>
          <w:sz w:val="24"/>
          <w:szCs w:val="24"/>
        </w:rPr>
        <w:t>CCSS</w:t>
      </w:r>
      <w:r w:rsidR="00F961D8" w:rsidRPr="00533550">
        <w:rPr>
          <w:rFonts w:ascii="Times New Roman" w:eastAsia="Arial Unicode MS" w:hAnsi="Times New Roman"/>
          <w:sz w:val="24"/>
          <w:szCs w:val="24"/>
        </w:rPr>
        <w:t>)</w:t>
      </w:r>
      <w:r w:rsidR="009F0EBA" w:rsidRPr="00533550">
        <w:rPr>
          <w:rFonts w:ascii="Times New Roman" w:eastAsia="Arial Unicode MS" w:hAnsi="Times New Roman"/>
          <w:sz w:val="24"/>
          <w:szCs w:val="24"/>
        </w:rPr>
        <w:t xml:space="preserve"> and the CCRS by the HIDOE high schools, Hawaii’s adu</w:t>
      </w:r>
      <w:r w:rsidR="00FA121E" w:rsidRPr="00533550">
        <w:rPr>
          <w:rFonts w:ascii="Times New Roman" w:eastAsia="Arial Unicode MS" w:hAnsi="Times New Roman"/>
          <w:sz w:val="24"/>
          <w:szCs w:val="24"/>
        </w:rPr>
        <w:t xml:space="preserve">lt education program </w:t>
      </w:r>
      <w:r w:rsidRPr="00533550">
        <w:rPr>
          <w:rFonts w:ascii="Times New Roman" w:eastAsia="Arial Unicode MS" w:hAnsi="Times New Roman"/>
          <w:sz w:val="24"/>
          <w:szCs w:val="24"/>
        </w:rPr>
        <w:t>believed it was in their students’ best interest to adopt comparable standards and incorporate these standards in the current curricula.</w:t>
      </w:r>
      <w:r w:rsidR="00005843" w:rsidRPr="00533550">
        <w:rPr>
          <w:rFonts w:ascii="Times New Roman" w:hAnsi="Times New Roman"/>
          <w:sz w:val="24"/>
          <w:szCs w:val="24"/>
        </w:rPr>
        <w:t xml:space="preserve">  </w:t>
      </w:r>
    </w:p>
    <w:p w14:paraId="3BF3201F" w14:textId="77777777" w:rsidR="00A5013A" w:rsidRPr="00533550" w:rsidRDefault="00A5013A" w:rsidP="00A96FB7">
      <w:pPr>
        <w:pStyle w:val="BodyText"/>
        <w:rPr>
          <w:rFonts w:eastAsia="Arial Unicode MS"/>
          <w:szCs w:val="24"/>
        </w:rPr>
      </w:pPr>
    </w:p>
    <w:p w14:paraId="79240D7D" w14:textId="77777777" w:rsidR="00D36536" w:rsidRPr="00533550" w:rsidRDefault="00D36536" w:rsidP="00D36536">
      <w:pPr>
        <w:autoSpaceDE w:val="0"/>
        <w:autoSpaceDN w:val="0"/>
        <w:adjustRightInd w:val="0"/>
        <w:spacing w:after="0" w:line="240" w:lineRule="auto"/>
        <w:rPr>
          <w:rFonts w:ascii="Times New Roman" w:hAnsi="Times New Roman"/>
          <w:b/>
          <w:bCs/>
          <w:sz w:val="24"/>
          <w:szCs w:val="24"/>
        </w:rPr>
      </w:pPr>
      <w:r w:rsidRPr="00533550">
        <w:rPr>
          <w:rFonts w:ascii="Times New Roman" w:hAnsi="Times New Roman"/>
          <w:b/>
          <w:bCs/>
          <w:sz w:val="24"/>
          <w:szCs w:val="24"/>
        </w:rPr>
        <w:t>6. Programs for Corrections Education and the Education of Other Institutionalized</w:t>
      </w:r>
    </w:p>
    <w:p w14:paraId="77267881" w14:textId="77777777" w:rsidR="00D36536" w:rsidRPr="00533550" w:rsidRDefault="00D36536" w:rsidP="00D36536">
      <w:pPr>
        <w:autoSpaceDE w:val="0"/>
        <w:autoSpaceDN w:val="0"/>
        <w:adjustRightInd w:val="0"/>
        <w:spacing w:after="120" w:line="240" w:lineRule="auto"/>
        <w:rPr>
          <w:rFonts w:ascii="Times New Roman" w:hAnsi="Times New Roman"/>
          <w:sz w:val="24"/>
          <w:szCs w:val="24"/>
        </w:rPr>
      </w:pPr>
      <w:r w:rsidRPr="00533550">
        <w:rPr>
          <w:rFonts w:ascii="Times New Roman" w:hAnsi="Times New Roman"/>
          <w:b/>
          <w:bCs/>
          <w:sz w:val="24"/>
          <w:szCs w:val="24"/>
        </w:rPr>
        <w:t xml:space="preserve">Individuals </w:t>
      </w:r>
      <w:r w:rsidRPr="00533550">
        <w:rPr>
          <w:rFonts w:ascii="Times New Roman" w:hAnsi="Times New Roman"/>
          <w:sz w:val="24"/>
          <w:szCs w:val="24"/>
        </w:rPr>
        <w:t>(AEFLA Section 225)</w:t>
      </w:r>
    </w:p>
    <w:p w14:paraId="19E9F60F" w14:textId="77777777" w:rsidR="00D36536" w:rsidRPr="00533550" w:rsidRDefault="00D36536" w:rsidP="00D36536">
      <w:pPr>
        <w:autoSpaceDE w:val="0"/>
        <w:autoSpaceDN w:val="0"/>
        <w:adjustRightInd w:val="0"/>
        <w:spacing w:after="0" w:line="240" w:lineRule="auto"/>
        <w:rPr>
          <w:rFonts w:ascii="Times New Roman" w:hAnsi="Times New Roman"/>
          <w:i/>
          <w:sz w:val="24"/>
          <w:szCs w:val="24"/>
        </w:rPr>
      </w:pPr>
      <w:r w:rsidRPr="00533550">
        <w:rPr>
          <w:rFonts w:ascii="Times New Roman" w:hAnsi="Times New Roman"/>
          <w:i/>
          <w:sz w:val="24"/>
          <w:szCs w:val="24"/>
        </w:rPr>
        <w:t>What was the relative rate of recidivism for criminal offenders served? Please describe the methods and factors used in calculating the rate for this reporting period.</w:t>
      </w:r>
    </w:p>
    <w:p w14:paraId="3F916767" w14:textId="77777777" w:rsidR="00D36536" w:rsidRPr="00533550" w:rsidRDefault="00D36536" w:rsidP="00D36536">
      <w:pPr>
        <w:pStyle w:val="NoSpacing"/>
        <w:rPr>
          <w:rFonts w:ascii="Times New Roman" w:hAnsi="Times New Roman"/>
          <w:sz w:val="24"/>
          <w:szCs w:val="24"/>
        </w:rPr>
      </w:pPr>
    </w:p>
    <w:p w14:paraId="4838BEF9" w14:textId="7B2CA1A4" w:rsidR="00387ED9" w:rsidRPr="00533550" w:rsidRDefault="00A247FC" w:rsidP="00A247FC">
      <w:pPr>
        <w:pStyle w:val="BodyText"/>
        <w:rPr>
          <w:rFonts w:eastAsia="Arial Unicode MS"/>
          <w:szCs w:val="24"/>
        </w:rPr>
      </w:pPr>
      <w:r w:rsidRPr="00533550">
        <w:rPr>
          <w:szCs w:val="24"/>
        </w:rPr>
        <w:t xml:space="preserve">The CSAs, specifically McKinley CSA, continue to partner with the Department of Public Safety to provide </w:t>
      </w:r>
      <w:r w:rsidRPr="00533550">
        <w:rPr>
          <w:rFonts w:eastAsia="Arial Unicode MS"/>
          <w:szCs w:val="24"/>
        </w:rPr>
        <w:t>viable educational services for incarcerated individuals of state correctional facilities</w:t>
      </w:r>
      <w:r w:rsidRPr="00533550">
        <w:rPr>
          <w:szCs w:val="24"/>
        </w:rPr>
        <w:t xml:space="preserve">.  </w:t>
      </w:r>
      <w:r w:rsidR="0016102E" w:rsidRPr="00533550">
        <w:rPr>
          <w:rFonts w:eastAsia="Arial Unicode MS"/>
          <w:szCs w:val="24"/>
        </w:rPr>
        <w:t xml:space="preserve">McKinley CSA currently services the Hilo, Maui, </w:t>
      </w:r>
      <w:r w:rsidR="00946A5D" w:rsidRPr="00533550">
        <w:rPr>
          <w:rFonts w:eastAsia="Arial Unicode MS"/>
          <w:szCs w:val="24"/>
        </w:rPr>
        <w:t xml:space="preserve">Kauai, </w:t>
      </w:r>
      <w:r w:rsidR="0016102E" w:rsidRPr="00533550">
        <w:rPr>
          <w:rFonts w:eastAsia="Arial Unicode MS"/>
          <w:szCs w:val="24"/>
        </w:rPr>
        <w:t>and Oahu Community Correctional Centers; the Halawa, Waiawa, and Kulani Correctional Facilities; and the Women’s Community Correctional Center by conducting High School Equivalency program</w:t>
      </w:r>
      <w:r w:rsidRPr="00533550">
        <w:rPr>
          <w:rFonts w:eastAsia="Arial Unicode MS"/>
          <w:szCs w:val="24"/>
        </w:rPr>
        <w:t xml:space="preserve"> courses in an </w:t>
      </w:r>
      <w:r w:rsidRPr="00533550">
        <w:rPr>
          <w:szCs w:val="24"/>
        </w:rPr>
        <w:t>effort to prepare inmates for college and career opportunities upon their release</w:t>
      </w:r>
      <w:r w:rsidR="0016102E" w:rsidRPr="00533550">
        <w:rPr>
          <w:rFonts w:eastAsia="Arial Unicode MS"/>
          <w:szCs w:val="24"/>
        </w:rPr>
        <w:t xml:space="preserve">.  </w:t>
      </w:r>
      <w:r w:rsidR="00387ED9" w:rsidRPr="00533550">
        <w:rPr>
          <w:szCs w:val="24"/>
        </w:rPr>
        <w:t xml:space="preserve">McKinley CSA </w:t>
      </w:r>
      <w:r w:rsidR="002D0198">
        <w:rPr>
          <w:rFonts w:eastAsia="Arial Unicode MS"/>
          <w:szCs w:val="24"/>
        </w:rPr>
        <w:t>also administers the GED to</w:t>
      </w:r>
      <w:r w:rsidR="002D0198" w:rsidRPr="00533550">
        <w:rPr>
          <w:szCs w:val="24"/>
        </w:rPr>
        <w:t xml:space="preserve"> </w:t>
      </w:r>
      <w:r w:rsidR="00387ED9" w:rsidRPr="00533550">
        <w:rPr>
          <w:szCs w:val="24"/>
        </w:rPr>
        <w:t xml:space="preserve">inmates </w:t>
      </w:r>
      <w:r w:rsidRPr="00533550">
        <w:rPr>
          <w:szCs w:val="24"/>
        </w:rPr>
        <w:t xml:space="preserve">to </w:t>
      </w:r>
      <w:r w:rsidR="002D0198">
        <w:rPr>
          <w:szCs w:val="24"/>
        </w:rPr>
        <w:t xml:space="preserve">provide them with an opportunity to </w:t>
      </w:r>
      <w:r w:rsidRPr="00533550">
        <w:rPr>
          <w:szCs w:val="24"/>
        </w:rPr>
        <w:t xml:space="preserve">earn their diploma.   </w:t>
      </w:r>
    </w:p>
    <w:p w14:paraId="44032728" w14:textId="77777777" w:rsidR="00387ED9" w:rsidRPr="00533550" w:rsidRDefault="00387ED9" w:rsidP="00387ED9">
      <w:pPr>
        <w:pStyle w:val="NoSpacing"/>
        <w:rPr>
          <w:rFonts w:ascii="Times New Roman" w:hAnsi="Times New Roman"/>
          <w:sz w:val="24"/>
          <w:szCs w:val="24"/>
        </w:rPr>
      </w:pPr>
    </w:p>
    <w:p w14:paraId="4801F50F" w14:textId="0120F194" w:rsidR="00387ED9" w:rsidRPr="00533550" w:rsidRDefault="003A7BAA" w:rsidP="00387ED9">
      <w:pPr>
        <w:pStyle w:val="NoSpacing"/>
        <w:rPr>
          <w:rFonts w:ascii="Times New Roman" w:hAnsi="Times New Roman"/>
          <w:sz w:val="24"/>
          <w:szCs w:val="24"/>
        </w:rPr>
      </w:pPr>
      <w:r w:rsidRPr="00533550">
        <w:rPr>
          <w:rFonts w:ascii="Times New Roman" w:hAnsi="Times New Roman"/>
          <w:sz w:val="24"/>
          <w:szCs w:val="24"/>
        </w:rPr>
        <w:t>HIDOE currently</w:t>
      </w:r>
      <w:r w:rsidR="00387ED9" w:rsidRPr="00533550">
        <w:rPr>
          <w:rFonts w:ascii="Times New Roman" w:hAnsi="Times New Roman"/>
          <w:sz w:val="24"/>
          <w:szCs w:val="24"/>
        </w:rPr>
        <w:t xml:space="preserve"> does not </w:t>
      </w:r>
      <w:r w:rsidRPr="00533550">
        <w:rPr>
          <w:rFonts w:ascii="Times New Roman" w:hAnsi="Times New Roman"/>
          <w:sz w:val="24"/>
          <w:szCs w:val="24"/>
        </w:rPr>
        <w:t>track</w:t>
      </w:r>
      <w:r w:rsidR="00322FCC" w:rsidRPr="00533550">
        <w:rPr>
          <w:rFonts w:ascii="Times New Roman" w:hAnsi="Times New Roman"/>
          <w:sz w:val="24"/>
          <w:szCs w:val="24"/>
        </w:rPr>
        <w:t xml:space="preserve"> the rate of reci</w:t>
      </w:r>
      <w:r w:rsidR="00614D56" w:rsidRPr="00533550">
        <w:rPr>
          <w:rFonts w:ascii="Times New Roman" w:hAnsi="Times New Roman"/>
          <w:sz w:val="24"/>
          <w:szCs w:val="24"/>
        </w:rPr>
        <w:t>divism for criminal offender</w:t>
      </w:r>
      <w:r w:rsidR="002D0198">
        <w:rPr>
          <w:rFonts w:ascii="Times New Roman" w:hAnsi="Times New Roman"/>
          <w:sz w:val="24"/>
          <w:szCs w:val="24"/>
        </w:rPr>
        <w:t xml:space="preserve">s.  However, HIDOE is working </w:t>
      </w:r>
      <w:r w:rsidR="00C6764C" w:rsidRPr="00533550">
        <w:rPr>
          <w:rFonts w:ascii="Times New Roman" w:hAnsi="Times New Roman"/>
          <w:sz w:val="24"/>
          <w:szCs w:val="24"/>
        </w:rPr>
        <w:t>with the</w:t>
      </w:r>
      <w:r w:rsidR="00614D56" w:rsidRPr="00533550">
        <w:rPr>
          <w:rFonts w:ascii="Times New Roman" w:hAnsi="Times New Roman"/>
          <w:sz w:val="24"/>
          <w:szCs w:val="24"/>
        </w:rPr>
        <w:t xml:space="preserve"> Department of Public Safety</w:t>
      </w:r>
      <w:r w:rsidR="00C6764C" w:rsidRPr="00533550">
        <w:rPr>
          <w:rFonts w:ascii="Times New Roman" w:hAnsi="Times New Roman"/>
          <w:sz w:val="24"/>
          <w:szCs w:val="24"/>
        </w:rPr>
        <w:t xml:space="preserve"> to get such data</w:t>
      </w:r>
      <w:r w:rsidR="00614D56" w:rsidRPr="00533550">
        <w:rPr>
          <w:rFonts w:ascii="Times New Roman" w:hAnsi="Times New Roman"/>
          <w:sz w:val="24"/>
          <w:szCs w:val="24"/>
        </w:rPr>
        <w:t>.</w:t>
      </w:r>
    </w:p>
    <w:p w14:paraId="0E231DE3" w14:textId="77777777" w:rsidR="00387ED9" w:rsidRPr="00533550" w:rsidRDefault="00387ED9" w:rsidP="00387ED9">
      <w:pPr>
        <w:pStyle w:val="BodyText"/>
        <w:rPr>
          <w:szCs w:val="24"/>
        </w:rPr>
      </w:pPr>
    </w:p>
    <w:p w14:paraId="743E5458" w14:textId="77777777" w:rsidR="00D36536" w:rsidRPr="00533550" w:rsidRDefault="00D36536" w:rsidP="00D36536">
      <w:pPr>
        <w:pStyle w:val="NoSpacing"/>
        <w:rPr>
          <w:rFonts w:ascii="Times New Roman" w:hAnsi="Times New Roman"/>
          <w:sz w:val="24"/>
          <w:szCs w:val="24"/>
        </w:rPr>
      </w:pPr>
    </w:p>
    <w:sectPr w:rsidR="00D36536" w:rsidRPr="00533550" w:rsidSect="0076645B">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1F4FF7" w14:textId="77777777" w:rsidR="00534C01" w:rsidRDefault="00534C01" w:rsidP="008C7BB0">
      <w:pPr>
        <w:spacing w:after="0" w:line="240" w:lineRule="auto"/>
      </w:pPr>
      <w:r>
        <w:separator/>
      </w:r>
    </w:p>
  </w:endnote>
  <w:endnote w:type="continuationSeparator" w:id="0">
    <w:p w14:paraId="4D38A244" w14:textId="77777777" w:rsidR="00534C01" w:rsidRDefault="00534C01" w:rsidP="008C7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altName w:val="Arial Unicode MS"/>
    <w:panose1 w:val="00000000000000000000"/>
    <w:charset w:val="88"/>
    <w:family w:val="auto"/>
    <w:notTrueType/>
    <w:pitch w:val="default"/>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7B032" w14:textId="7B0482FF" w:rsidR="008A615C" w:rsidRPr="00E2780E" w:rsidRDefault="008A615C" w:rsidP="00E2780E">
    <w:pPr>
      <w:pStyle w:val="Footer"/>
      <w:jc w:val="right"/>
      <w:rPr>
        <w:sz w:val="16"/>
        <w:szCs w:val="16"/>
      </w:rPr>
    </w:pPr>
    <w:r w:rsidRPr="00E2780E">
      <w:rPr>
        <w:sz w:val="16"/>
        <w:szCs w:val="16"/>
      </w:rPr>
      <w:fldChar w:fldCharType="begin"/>
    </w:r>
    <w:r w:rsidRPr="00E2780E">
      <w:rPr>
        <w:sz w:val="16"/>
        <w:szCs w:val="16"/>
      </w:rPr>
      <w:instrText xml:space="preserve"> DATE \@ "M.d.yyyy" </w:instrText>
    </w:r>
    <w:r w:rsidRPr="00E2780E">
      <w:rPr>
        <w:sz w:val="16"/>
        <w:szCs w:val="16"/>
      </w:rPr>
      <w:fldChar w:fldCharType="separate"/>
    </w:r>
    <w:r w:rsidR="005B24B0">
      <w:rPr>
        <w:noProof/>
        <w:sz w:val="16"/>
        <w:szCs w:val="16"/>
      </w:rPr>
      <w:t>12.29.2017</w:t>
    </w:r>
    <w:r w:rsidRPr="00E2780E">
      <w:rPr>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C36E8" w14:textId="77777777" w:rsidR="008A615C" w:rsidRDefault="008A615C" w:rsidP="00E2780E">
    <w:pPr>
      <w:pStyle w:val="Footer"/>
      <w:jc w:val="right"/>
    </w:pPr>
  </w:p>
  <w:p w14:paraId="00135BE5" w14:textId="77777777" w:rsidR="008A615C" w:rsidRDefault="008A615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6FE02A" w14:textId="77777777" w:rsidR="00534C01" w:rsidRDefault="00534C01" w:rsidP="008C7BB0">
      <w:pPr>
        <w:spacing w:after="0" w:line="240" w:lineRule="auto"/>
      </w:pPr>
      <w:r>
        <w:separator/>
      </w:r>
    </w:p>
  </w:footnote>
  <w:footnote w:type="continuationSeparator" w:id="0">
    <w:p w14:paraId="05E93BC5" w14:textId="77777777" w:rsidR="00534C01" w:rsidRDefault="00534C01" w:rsidP="008C7B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2FA938" w14:textId="08C7B301" w:rsidR="008A615C" w:rsidRPr="0076645B" w:rsidRDefault="008A615C" w:rsidP="0076645B">
    <w:pPr>
      <w:pStyle w:val="Header"/>
      <w:jc w:val="right"/>
      <w:rPr>
        <w:rFonts w:ascii="Times New Roman" w:hAnsi="Times New Roman"/>
        <w:sz w:val="20"/>
        <w:szCs w:val="20"/>
      </w:rPr>
    </w:pPr>
    <w:r>
      <w:rPr>
        <w:rFonts w:ascii="Times New Roman" w:hAnsi="Times New Roman"/>
        <w:sz w:val="20"/>
        <w:szCs w:val="20"/>
      </w:rPr>
      <w:t xml:space="preserve">Hawaii Narrative Report 2016-17     </w:t>
    </w:r>
    <w:r w:rsidRPr="0076645B">
      <w:rPr>
        <w:rFonts w:ascii="Times New Roman" w:hAnsi="Times New Roman"/>
        <w:sz w:val="20"/>
        <w:szCs w:val="20"/>
      </w:rPr>
      <w:fldChar w:fldCharType="begin"/>
    </w:r>
    <w:r w:rsidRPr="0076645B">
      <w:rPr>
        <w:rFonts w:ascii="Times New Roman" w:hAnsi="Times New Roman"/>
        <w:sz w:val="20"/>
        <w:szCs w:val="20"/>
      </w:rPr>
      <w:instrText xml:space="preserve"> PAGE   \* MERGEFORMAT </w:instrText>
    </w:r>
    <w:r w:rsidRPr="0076645B">
      <w:rPr>
        <w:rFonts w:ascii="Times New Roman" w:hAnsi="Times New Roman"/>
        <w:sz w:val="20"/>
        <w:szCs w:val="20"/>
      </w:rPr>
      <w:fldChar w:fldCharType="separate"/>
    </w:r>
    <w:r w:rsidR="005B24B0">
      <w:rPr>
        <w:rFonts w:ascii="Times New Roman" w:hAnsi="Times New Roman"/>
        <w:noProof/>
        <w:sz w:val="20"/>
        <w:szCs w:val="20"/>
      </w:rPr>
      <w:t>7</w:t>
    </w:r>
    <w:r w:rsidRPr="0076645B">
      <w:rPr>
        <w:rFonts w:ascii="Times New Roman" w:hAnsi="Times New Roman"/>
        <w:noProof/>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35F5C"/>
    <w:multiLevelType w:val="hybridMultilevel"/>
    <w:tmpl w:val="54188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995712"/>
    <w:multiLevelType w:val="hybridMultilevel"/>
    <w:tmpl w:val="427CF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334A0C"/>
    <w:multiLevelType w:val="hybridMultilevel"/>
    <w:tmpl w:val="A0CE727C"/>
    <w:lvl w:ilvl="0" w:tplc="833AC406">
      <w:numFmt w:val="bullet"/>
      <w:lvlText w:val=""/>
      <w:lvlJc w:val="left"/>
      <w:pPr>
        <w:ind w:left="720" w:hanging="360"/>
      </w:pPr>
      <w:rPr>
        <w:rFonts w:ascii="SymbolMT" w:eastAsia="SymbolMT" w:hAnsi="Times New Roman" w:cs="SymbolMT"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235ED7"/>
    <w:multiLevelType w:val="hybridMultilevel"/>
    <w:tmpl w:val="34BEE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A1B"/>
    <w:rsid w:val="00005843"/>
    <w:rsid w:val="0000672C"/>
    <w:rsid w:val="000128DA"/>
    <w:rsid w:val="00014BF7"/>
    <w:rsid w:val="0002680C"/>
    <w:rsid w:val="00030C04"/>
    <w:rsid w:val="000343EB"/>
    <w:rsid w:val="00041FF1"/>
    <w:rsid w:val="0004469E"/>
    <w:rsid w:val="0004600A"/>
    <w:rsid w:val="000510FA"/>
    <w:rsid w:val="00052E4E"/>
    <w:rsid w:val="00054C7D"/>
    <w:rsid w:val="00065171"/>
    <w:rsid w:val="00071E85"/>
    <w:rsid w:val="000801E4"/>
    <w:rsid w:val="000820B0"/>
    <w:rsid w:val="00082E6B"/>
    <w:rsid w:val="00084ABB"/>
    <w:rsid w:val="000937F4"/>
    <w:rsid w:val="000961EE"/>
    <w:rsid w:val="000A2EAF"/>
    <w:rsid w:val="000B3142"/>
    <w:rsid w:val="000B66C6"/>
    <w:rsid w:val="000C6F96"/>
    <w:rsid w:val="000E2888"/>
    <w:rsid w:val="000F3F67"/>
    <w:rsid w:val="000F4A55"/>
    <w:rsid w:val="00105B16"/>
    <w:rsid w:val="00112AFA"/>
    <w:rsid w:val="00115F80"/>
    <w:rsid w:val="0011721E"/>
    <w:rsid w:val="00117789"/>
    <w:rsid w:val="00117CD2"/>
    <w:rsid w:val="0012378C"/>
    <w:rsid w:val="00132DBC"/>
    <w:rsid w:val="00136381"/>
    <w:rsid w:val="00141EC2"/>
    <w:rsid w:val="00142773"/>
    <w:rsid w:val="001443C4"/>
    <w:rsid w:val="00144A80"/>
    <w:rsid w:val="00144C1E"/>
    <w:rsid w:val="00157010"/>
    <w:rsid w:val="00157C05"/>
    <w:rsid w:val="0016102E"/>
    <w:rsid w:val="00164159"/>
    <w:rsid w:val="001704B0"/>
    <w:rsid w:val="001842E1"/>
    <w:rsid w:val="00190596"/>
    <w:rsid w:val="001A33AE"/>
    <w:rsid w:val="001B09B1"/>
    <w:rsid w:val="001B395A"/>
    <w:rsid w:val="001B54F8"/>
    <w:rsid w:val="001C1A07"/>
    <w:rsid w:val="001E7ABE"/>
    <w:rsid w:val="001F100F"/>
    <w:rsid w:val="001F1921"/>
    <w:rsid w:val="001F2C82"/>
    <w:rsid w:val="001F2EE3"/>
    <w:rsid w:val="00203429"/>
    <w:rsid w:val="0021331F"/>
    <w:rsid w:val="00213507"/>
    <w:rsid w:val="00215F62"/>
    <w:rsid w:val="00226799"/>
    <w:rsid w:val="002328F3"/>
    <w:rsid w:val="002364CC"/>
    <w:rsid w:val="00243C92"/>
    <w:rsid w:val="002456C4"/>
    <w:rsid w:val="00260EE9"/>
    <w:rsid w:val="002618D2"/>
    <w:rsid w:val="00265B29"/>
    <w:rsid w:val="00273C41"/>
    <w:rsid w:val="002760C6"/>
    <w:rsid w:val="00276550"/>
    <w:rsid w:val="00281947"/>
    <w:rsid w:val="00287502"/>
    <w:rsid w:val="00296F35"/>
    <w:rsid w:val="002A747C"/>
    <w:rsid w:val="002B04F2"/>
    <w:rsid w:val="002B1D6D"/>
    <w:rsid w:val="002B42D5"/>
    <w:rsid w:val="002B5B18"/>
    <w:rsid w:val="002C0A5B"/>
    <w:rsid w:val="002C17F5"/>
    <w:rsid w:val="002C7337"/>
    <w:rsid w:val="002C76D1"/>
    <w:rsid w:val="002D0198"/>
    <w:rsid w:val="002D0260"/>
    <w:rsid w:val="002E4857"/>
    <w:rsid w:val="002F066F"/>
    <w:rsid w:val="002F2074"/>
    <w:rsid w:val="002F404A"/>
    <w:rsid w:val="002F7F2A"/>
    <w:rsid w:val="00313485"/>
    <w:rsid w:val="003166A1"/>
    <w:rsid w:val="00321F5E"/>
    <w:rsid w:val="00322FCC"/>
    <w:rsid w:val="00324805"/>
    <w:rsid w:val="00326B6F"/>
    <w:rsid w:val="00330E5D"/>
    <w:rsid w:val="0034336D"/>
    <w:rsid w:val="00343E41"/>
    <w:rsid w:val="00344F14"/>
    <w:rsid w:val="00350152"/>
    <w:rsid w:val="00353D94"/>
    <w:rsid w:val="003545F2"/>
    <w:rsid w:val="00354F69"/>
    <w:rsid w:val="00361807"/>
    <w:rsid w:val="003660F4"/>
    <w:rsid w:val="00367313"/>
    <w:rsid w:val="00371104"/>
    <w:rsid w:val="00371EAD"/>
    <w:rsid w:val="00373A6F"/>
    <w:rsid w:val="00381B78"/>
    <w:rsid w:val="0038388A"/>
    <w:rsid w:val="0038409F"/>
    <w:rsid w:val="00385A83"/>
    <w:rsid w:val="00387178"/>
    <w:rsid w:val="00387D4A"/>
    <w:rsid w:val="00387ED9"/>
    <w:rsid w:val="00390CB1"/>
    <w:rsid w:val="00392016"/>
    <w:rsid w:val="00397749"/>
    <w:rsid w:val="003A037C"/>
    <w:rsid w:val="003A4390"/>
    <w:rsid w:val="003A6F03"/>
    <w:rsid w:val="003A7BAA"/>
    <w:rsid w:val="003A7E6F"/>
    <w:rsid w:val="003C0583"/>
    <w:rsid w:val="003D05E4"/>
    <w:rsid w:val="003D2B30"/>
    <w:rsid w:val="003D354E"/>
    <w:rsid w:val="003D45C5"/>
    <w:rsid w:val="003D5F02"/>
    <w:rsid w:val="003E677A"/>
    <w:rsid w:val="003E7783"/>
    <w:rsid w:val="003F3904"/>
    <w:rsid w:val="00403030"/>
    <w:rsid w:val="0042124D"/>
    <w:rsid w:val="00433176"/>
    <w:rsid w:val="00435C17"/>
    <w:rsid w:val="0044014D"/>
    <w:rsid w:val="00444112"/>
    <w:rsid w:val="004451D9"/>
    <w:rsid w:val="00464924"/>
    <w:rsid w:val="0048109E"/>
    <w:rsid w:val="004827C0"/>
    <w:rsid w:val="00493CE8"/>
    <w:rsid w:val="00494CE2"/>
    <w:rsid w:val="004956AD"/>
    <w:rsid w:val="00496C4B"/>
    <w:rsid w:val="004A5CD4"/>
    <w:rsid w:val="004B10C4"/>
    <w:rsid w:val="004B6788"/>
    <w:rsid w:val="004C1CEA"/>
    <w:rsid w:val="004C3671"/>
    <w:rsid w:val="004D1D86"/>
    <w:rsid w:val="004E14F8"/>
    <w:rsid w:val="004F2020"/>
    <w:rsid w:val="004F436C"/>
    <w:rsid w:val="004F6129"/>
    <w:rsid w:val="00503448"/>
    <w:rsid w:val="0050391C"/>
    <w:rsid w:val="005071B6"/>
    <w:rsid w:val="0051551C"/>
    <w:rsid w:val="00520947"/>
    <w:rsid w:val="00521840"/>
    <w:rsid w:val="00524BB3"/>
    <w:rsid w:val="00527B6E"/>
    <w:rsid w:val="0053278F"/>
    <w:rsid w:val="00533550"/>
    <w:rsid w:val="00534C01"/>
    <w:rsid w:val="00540B42"/>
    <w:rsid w:val="00542AF5"/>
    <w:rsid w:val="005523D1"/>
    <w:rsid w:val="0055443E"/>
    <w:rsid w:val="00554535"/>
    <w:rsid w:val="00556AAA"/>
    <w:rsid w:val="00565153"/>
    <w:rsid w:val="00570A6C"/>
    <w:rsid w:val="0057544E"/>
    <w:rsid w:val="0058018B"/>
    <w:rsid w:val="005868F9"/>
    <w:rsid w:val="00592E68"/>
    <w:rsid w:val="00595ECA"/>
    <w:rsid w:val="005B24B0"/>
    <w:rsid w:val="005E00C5"/>
    <w:rsid w:val="005F356C"/>
    <w:rsid w:val="006028E9"/>
    <w:rsid w:val="00606494"/>
    <w:rsid w:val="00610294"/>
    <w:rsid w:val="0061040F"/>
    <w:rsid w:val="00614D56"/>
    <w:rsid w:val="00623E3B"/>
    <w:rsid w:val="0062502F"/>
    <w:rsid w:val="00625B6E"/>
    <w:rsid w:val="0063488C"/>
    <w:rsid w:val="00637940"/>
    <w:rsid w:val="0064010C"/>
    <w:rsid w:val="006436AD"/>
    <w:rsid w:val="00646B88"/>
    <w:rsid w:val="00652CAC"/>
    <w:rsid w:val="00653E2E"/>
    <w:rsid w:val="00655E47"/>
    <w:rsid w:val="006654EA"/>
    <w:rsid w:val="00670054"/>
    <w:rsid w:val="006A1A58"/>
    <w:rsid w:val="006A3B3E"/>
    <w:rsid w:val="006B2A1A"/>
    <w:rsid w:val="006C2B84"/>
    <w:rsid w:val="006C60F9"/>
    <w:rsid w:val="006E1108"/>
    <w:rsid w:val="006E3479"/>
    <w:rsid w:val="006E3877"/>
    <w:rsid w:val="006E3FC4"/>
    <w:rsid w:val="006F0FB7"/>
    <w:rsid w:val="00701FEA"/>
    <w:rsid w:val="007058BB"/>
    <w:rsid w:val="007065ED"/>
    <w:rsid w:val="0071440B"/>
    <w:rsid w:val="00717D6F"/>
    <w:rsid w:val="00720174"/>
    <w:rsid w:val="00722D64"/>
    <w:rsid w:val="00732A70"/>
    <w:rsid w:val="00736DBD"/>
    <w:rsid w:val="00757B9D"/>
    <w:rsid w:val="0076271B"/>
    <w:rsid w:val="00762A0E"/>
    <w:rsid w:val="0076645B"/>
    <w:rsid w:val="007754D2"/>
    <w:rsid w:val="007758EC"/>
    <w:rsid w:val="00777E63"/>
    <w:rsid w:val="007832D0"/>
    <w:rsid w:val="00793B7C"/>
    <w:rsid w:val="0079690A"/>
    <w:rsid w:val="007A610D"/>
    <w:rsid w:val="007A7B26"/>
    <w:rsid w:val="007A7E70"/>
    <w:rsid w:val="007B4A0C"/>
    <w:rsid w:val="007C31D8"/>
    <w:rsid w:val="007C7BCC"/>
    <w:rsid w:val="007E23CA"/>
    <w:rsid w:val="007F7E8D"/>
    <w:rsid w:val="00801A48"/>
    <w:rsid w:val="00801AA8"/>
    <w:rsid w:val="0080580B"/>
    <w:rsid w:val="00813ADD"/>
    <w:rsid w:val="00815F6A"/>
    <w:rsid w:val="0082492E"/>
    <w:rsid w:val="00832447"/>
    <w:rsid w:val="00833AD3"/>
    <w:rsid w:val="008442C3"/>
    <w:rsid w:val="008473E1"/>
    <w:rsid w:val="008627E3"/>
    <w:rsid w:val="00862D68"/>
    <w:rsid w:val="00864970"/>
    <w:rsid w:val="0086698C"/>
    <w:rsid w:val="00872C08"/>
    <w:rsid w:val="00873C46"/>
    <w:rsid w:val="00877CDD"/>
    <w:rsid w:val="00883E68"/>
    <w:rsid w:val="008917B2"/>
    <w:rsid w:val="00893DCC"/>
    <w:rsid w:val="00895499"/>
    <w:rsid w:val="008A0B71"/>
    <w:rsid w:val="008A2270"/>
    <w:rsid w:val="008A27A3"/>
    <w:rsid w:val="008A3FDE"/>
    <w:rsid w:val="008A4C09"/>
    <w:rsid w:val="008A615C"/>
    <w:rsid w:val="008C16DC"/>
    <w:rsid w:val="008C7BB0"/>
    <w:rsid w:val="008D55B0"/>
    <w:rsid w:val="008D7DA9"/>
    <w:rsid w:val="008E46C5"/>
    <w:rsid w:val="008F0446"/>
    <w:rsid w:val="008F0855"/>
    <w:rsid w:val="008F1EBC"/>
    <w:rsid w:val="008F200C"/>
    <w:rsid w:val="008F53FE"/>
    <w:rsid w:val="00912F65"/>
    <w:rsid w:val="00915A82"/>
    <w:rsid w:val="00925542"/>
    <w:rsid w:val="00931177"/>
    <w:rsid w:val="00932FA4"/>
    <w:rsid w:val="00935279"/>
    <w:rsid w:val="0093759B"/>
    <w:rsid w:val="00946A5D"/>
    <w:rsid w:val="00951FAC"/>
    <w:rsid w:val="00955125"/>
    <w:rsid w:val="00957FC4"/>
    <w:rsid w:val="0096174D"/>
    <w:rsid w:val="00967559"/>
    <w:rsid w:val="00967622"/>
    <w:rsid w:val="009707B3"/>
    <w:rsid w:val="00973143"/>
    <w:rsid w:val="0097419E"/>
    <w:rsid w:val="00987E29"/>
    <w:rsid w:val="009936E3"/>
    <w:rsid w:val="009A7EDB"/>
    <w:rsid w:val="009C3F16"/>
    <w:rsid w:val="009C5621"/>
    <w:rsid w:val="009D134C"/>
    <w:rsid w:val="009D1389"/>
    <w:rsid w:val="009D3CF6"/>
    <w:rsid w:val="009D5A67"/>
    <w:rsid w:val="009F0EBA"/>
    <w:rsid w:val="00A00267"/>
    <w:rsid w:val="00A024EE"/>
    <w:rsid w:val="00A16AF6"/>
    <w:rsid w:val="00A247FC"/>
    <w:rsid w:val="00A27163"/>
    <w:rsid w:val="00A312D1"/>
    <w:rsid w:val="00A31C68"/>
    <w:rsid w:val="00A45F92"/>
    <w:rsid w:val="00A5013A"/>
    <w:rsid w:val="00A60F52"/>
    <w:rsid w:val="00A72D43"/>
    <w:rsid w:val="00A82F21"/>
    <w:rsid w:val="00A832CC"/>
    <w:rsid w:val="00A858B1"/>
    <w:rsid w:val="00A85FE2"/>
    <w:rsid w:val="00A95974"/>
    <w:rsid w:val="00A96FB7"/>
    <w:rsid w:val="00AA231F"/>
    <w:rsid w:val="00AA468A"/>
    <w:rsid w:val="00AB3460"/>
    <w:rsid w:val="00AC4582"/>
    <w:rsid w:val="00AC6070"/>
    <w:rsid w:val="00AC6FB2"/>
    <w:rsid w:val="00AC798F"/>
    <w:rsid w:val="00AD251A"/>
    <w:rsid w:val="00AD73DB"/>
    <w:rsid w:val="00B00B15"/>
    <w:rsid w:val="00B00F6B"/>
    <w:rsid w:val="00B033BF"/>
    <w:rsid w:val="00B03E70"/>
    <w:rsid w:val="00B042CF"/>
    <w:rsid w:val="00B0758A"/>
    <w:rsid w:val="00B07AA9"/>
    <w:rsid w:val="00B10CB2"/>
    <w:rsid w:val="00B10E8F"/>
    <w:rsid w:val="00B22C1E"/>
    <w:rsid w:val="00B235AF"/>
    <w:rsid w:val="00B24307"/>
    <w:rsid w:val="00B25539"/>
    <w:rsid w:val="00B26FF4"/>
    <w:rsid w:val="00B41284"/>
    <w:rsid w:val="00B41E96"/>
    <w:rsid w:val="00B42BFF"/>
    <w:rsid w:val="00B50CCC"/>
    <w:rsid w:val="00B5156A"/>
    <w:rsid w:val="00B5309B"/>
    <w:rsid w:val="00B5510E"/>
    <w:rsid w:val="00B61D86"/>
    <w:rsid w:val="00B66F4A"/>
    <w:rsid w:val="00B67226"/>
    <w:rsid w:val="00B72C54"/>
    <w:rsid w:val="00B81F38"/>
    <w:rsid w:val="00B84243"/>
    <w:rsid w:val="00B847CF"/>
    <w:rsid w:val="00B9096C"/>
    <w:rsid w:val="00B97B51"/>
    <w:rsid w:val="00BA6E93"/>
    <w:rsid w:val="00BA7D07"/>
    <w:rsid w:val="00BB05EB"/>
    <w:rsid w:val="00BB37C7"/>
    <w:rsid w:val="00BB39F9"/>
    <w:rsid w:val="00BB4387"/>
    <w:rsid w:val="00BB4616"/>
    <w:rsid w:val="00BB71CA"/>
    <w:rsid w:val="00BC2EDC"/>
    <w:rsid w:val="00BC5840"/>
    <w:rsid w:val="00BD2187"/>
    <w:rsid w:val="00BE0569"/>
    <w:rsid w:val="00BE0832"/>
    <w:rsid w:val="00BE096B"/>
    <w:rsid w:val="00BE1245"/>
    <w:rsid w:val="00BE3A75"/>
    <w:rsid w:val="00BE53A4"/>
    <w:rsid w:val="00BE5DB3"/>
    <w:rsid w:val="00BF022B"/>
    <w:rsid w:val="00BF3EF2"/>
    <w:rsid w:val="00BF763B"/>
    <w:rsid w:val="00BF7797"/>
    <w:rsid w:val="00C0208C"/>
    <w:rsid w:val="00C03399"/>
    <w:rsid w:val="00C12FE3"/>
    <w:rsid w:val="00C2121A"/>
    <w:rsid w:val="00C21C66"/>
    <w:rsid w:val="00C2296F"/>
    <w:rsid w:val="00C23BCD"/>
    <w:rsid w:val="00C300FA"/>
    <w:rsid w:val="00C4210E"/>
    <w:rsid w:val="00C43FDB"/>
    <w:rsid w:val="00C4541B"/>
    <w:rsid w:val="00C47D82"/>
    <w:rsid w:val="00C600C1"/>
    <w:rsid w:val="00C629A0"/>
    <w:rsid w:val="00C669CD"/>
    <w:rsid w:val="00C6764C"/>
    <w:rsid w:val="00C719CF"/>
    <w:rsid w:val="00C724BB"/>
    <w:rsid w:val="00C77DC2"/>
    <w:rsid w:val="00C8091A"/>
    <w:rsid w:val="00C8575D"/>
    <w:rsid w:val="00C96E2B"/>
    <w:rsid w:val="00C97D67"/>
    <w:rsid w:val="00CB1DA9"/>
    <w:rsid w:val="00CB4BEC"/>
    <w:rsid w:val="00CC707E"/>
    <w:rsid w:val="00CD02BF"/>
    <w:rsid w:val="00CD1B40"/>
    <w:rsid w:val="00CE1E6F"/>
    <w:rsid w:val="00CE247B"/>
    <w:rsid w:val="00CF02F5"/>
    <w:rsid w:val="00CF71C2"/>
    <w:rsid w:val="00D12169"/>
    <w:rsid w:val="00D12CC4"/>
    <w:rsid w:val="00D146BE"/>
    <w:rsid w:val="00D22200"/>
    <w:rsid w:val="00D23A57"/>
    <w:rsid w:val="00D33135"/>
    <w:rsid w:val="00D36536"/>
    <w:rsid w:val="00D41E70"/>
    <w:rsid w:val="00D6212D"/>
    <w:rsid w:val="00D7152C"/>
    <w:rsid w:val="00D74FF7"/>
    <w:rsid w:val="00D75472"/>
    <w:rsid w:val="00D834FE"/>
    <w:rsid w:val="00D850FB"/>
    <w:rsid w:val="00D91C71"/>
    <w:rsid w:val="00D9291B"/>
    <w:rsid w:val="00D93C91"/>
    <w:rsid w:val="00D94A6C"/>
    <w:rsid w:val="00D95049"/>
    <w:rsid w:val="00DA1927"/>
    <w:rsid w:val="00DA488F"/>
    <w:rsid w:val="00DA567C"/>
    <w:rsid w:val="00DB6ED1"/>
    <w:rsid w:val="00DC139E"/>
    <w:rsid w:val="00DC1B81"/>
    <w:rsid w:val="00DC41AE"/>
    <w:rsid w:val="00DD232D"/>
    <w:rsid w:val="00DD45C5"/>
    <w:rsid w:val="00DE1829"/>
    <w:rsid w:val="00DE6BFD"/>
    <w:rsid w:val="00DF6846"/>
    <w:rsid w:val="00DF7A2C"/>
    <w:rsid w:val="00E010AC"/>
    <w:rsid w:val="00E16815"/>
    <w:rsid w:val="00E21083"/>
    <w:rsid w:val="00E266D2"/>
    <w:rsid w:val="00E2780E"/>
    <w:rsid w:val="00E45DAF"/>
    <w:rsid w:val="00E46576"/>
    <w:rsid w:val="00E529E6"/>
    <w:rsid w:val="00E66D62"/>
    <w:rsid w:val="00E73ED4"/>
    <w:rsid w:val="00E77483"/>
    <w:rsid w:val="00E91B0A"/>
    <w:rsid w:val="00E926C9"/>
    <w:rsid w:val="00E962FA"/>
    <w:rsid w:val="00E968B4"/>
    <w:rsid w:val="00E97039"/>
    <w:rsid w:val="00E9787B"/>
    <w:rsid w:val="00EA23A1"/>
    <w:rsid w:val="00EA4EC3"/>
    <w:rsid w:val="00EA523B"/>
    <w:rsid w:val="00EB4FFD"/>
    <w:rsid w:val="00EC7192"/>
    <w:rsid w:val="00ED1744"/>
    <w:rsid w:val="00ED1CA6"/>
    <w:rsid w:val="00EE3212"/>
    <w:rsid w:val="00EE325F"/>
    <w:rsid w:val="00EE33D6"/>
    <w:rsid w:val="00EE3614"/>
    <w:rsid w:val="00EF267D"/>
    <w:rsid w:val="00EF61E3"/>
    <w:rsid w:val="00F000DC"/>
    <w:rsid w:val="00F00C99"/>
    <w:rsid w:val="00F14A4B"/>
    <w:rsid w:val="00F20353"/>
    <w:rsid w:val="00F27F96"/>
    <w:rsid w:val="00F424E6"/>
    <w:rsid w:val="00F5186E"/>
    <w:rsid w:val="00F546C7"/>
    <w:rsid w:val="00F73BE4"/>
    <w:rsid w:val="00F748B8"/>
    <w:rsid w:val="00F74DBC"/>
    <w:rsid w:val="00F82140"/>
    <w:rsid w:val="00F83DA9"/>
    <w:rsid w:val="00F85953"/>
    <w:rsid w:val="00F9055B"/>
    <w:rsid w:val="00F95EE2"/>
    <w:rsid w:val="00F961D8"/>
    <w:rsid w:val="00FA121E"/>
    <w:rsid w:val="00FB403E"/>
    <w:rsid w:val="00FB473B"/>
    <w:rsid w:val="00FB7DA3"/>
    <w:rsid w:val="00FC250B"/>
    <w:rsid w:val="00FC2F28"/>
    <w:rsid w:val="00FC3434"/>
    <w:rsid w:val="00FC45D0"/>
    <w:rsid w:val="00FD3EAE"/>
    <w:rsid w:val="00FD40CD"/>
    <w:rsid w:val="00FD57EB"/>
    <w:rsid w:val="00FD653F"/>
    <w:rsid w:val="00FE3A1B"/>
    <w:rsid w:val="00FE4C1E"/>
    <w:rsid w:val="00FF4C12"/>
    <w:rsid w:val="00FF4F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F1A27"/>
  <w15:docId w15:val="{8930E26A-FEC9-4010-9A31-9E80BCAF5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E3A1B"/>
    <w:rPr>
      <w:sz w:val="22"/>
      <w:szCs w:val="22"/>
    </w:rPr>
  </w:style>
  <w:style w:type="paragraph" w:styleId="BodyText">
    <w:name w:val="Body Text"/>
    <w:basedOn w:val="Normal"/>
    <w:link w:val="BodyTextChar"/>
    <w:rsid w:val="00A31C68"/>
    <w:pPr>
      <w:spacing w:after="0" w:line="240" w:lineRule="auto"/>
    </w:pPr>
    <w:rPr>
      <w:rFonts w:ascii="Times New Roman" w:eastAsia="Times New Roman" w:hAnsi="Times New Roman"/>
      <w:sz w:val="24"/>
      <w:szCs w:val="20"/>
    </w:rPr>
  </w:style>
  <w:style w:type="character" w:customStyle="1" w:styleId="BodyTextChar">
    <w:name w:val="Body Text Char"/>
    <w:link w:val="BodyText"/>
    <w:rsid w:val="00A31C68"/>
    <w:rPr>
      <w:rFonts w:ascii="Times New Roman" w:eastAsia="Times New Roman" w:hAnsi="Times New Roman"/>
      <w:sz w:val="24"/>
    </w:rPr>
  </w:style>
  <w:style w:type="paragraph" w:styleId="Header">
    <w:name w:val="header"/>
    <w:basedOn w:val="Normal"/>
    <w:link w:val="HeaderChar"/>
    <w:uiPriority w:val="99"/>
    <w:unhideWhenUsed/>
    <w:rsid w:val="008C7BB0"/>
    <w:pPr>
      <w:tabs>
        <w:tab w:val="center" w:pos="4680"/>
        <w:tab w:val="right" w:pos="9360"/>
      </w:tabs>
    </w:pPr>
  </w:style>
  <w:style w:type="character" w:customStyle="1" w:styleId="HeaderChar">
    <w:name w:val="Header Char"/>
    <w:link w:val="Header"/>
    <w:uiPriority w:val="99"/>
    <w:rsid w:val="008C7BB0"/>
    <w:rPr>
      <w:sz w:val="22"/>
      <w:szCs w:val="22"/>
    </w:rPr>
  </w:style>
  <w:style w:type="paragraph" w:styleId="Footer">
    <w:name w:val="footer"/>
    <w:basedOn w:val="Normal"/>
    <w:link w:val="FooterChar"/>
    <w:uiPriority w:val="99"/>
    <w:unhideWhenUsed/>
    <w:rsid w:val="008C7BB0"/>
    <w:pPr>
      <w:tabs>
        <w:tab w:val="center" w:pos="4680"/>
        <w:tab w:val="right" w:pos="9360"/>
      </w:tabs>
    </w:pPr>
  </w:style>
  <w:style w:type="character" w:customStyle="1" w:styleId="FooterChar">
    <w:name w:val="Footer Char"/>
    <w:link w:val="Footer"/>
    <w:uiPriority w:val="99"/>
    <w:rsid w:val="008C7BB0"/>
    <w:rPr>
      <w:sz w:val="22"/>
      <w:szCs w:val="22"/>
    </w:rPr>
  </w:style>
  <w:style w:type="paragraph" w:styleId="BalloonText">
    <w:name w:val="Balloon Text"/>
    <w:basedOn w:val="Normal"/>
    <w:link w:val="BalloonTextChar"/>
    <w:uiPriority w:val="99"/>
    <w:semiHidden/>
    <w:unhideWhenUsed/>
    <w:rsid w:val="00C96E2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96E2B"/>
    <w:rPr>
      <w:rFonts w:ascii="Tahoma" w:hAnsi="Tahoma" w:cs="Tahoma"/>
      <w:sz w:val="16"/>
      <w:szCs w:val="16"/>
    </w:rPr>
  </w:style>
  <w:style w:type="paragraph" w:styleId="ListParagraph">
    <w:name w:val="List Paragraph"/>
    <w:basedOn w:val="Normal"/>
    <w:uiPriority w:val="34"/>
    <w:qFormat/>
    <w:rsid w:val="00A82F21"/>
    <w:pPr>
      <w:ind w:left="720"/>
      <w:contextualSpacing/>
    </w:pPr>
  </w:style>
  <w:style w:type="character" w:styleId="CommentReference">
    <w:name w:val="annotation reference"/>
    <w:basedOn w:val="DefaultParagraphFont"/>
    <w:uiPriority w:val="99"/>
    <w:semiHidden/>
    <w:unhideWhenUsed/>
    <w:rsid w:val="00B5510E"/>
    <w:rPr>
      <w:sz w:val="16"/>
      <w:szCs w:val="16"/>
    </w:rPr>
  </w:style>
  <w:style w:type="paragraph" w:styleId="CommentText">
    <w:name w:val="annotation text"/>
    <w:basedOn w:val="Normal"/>
    <w:link w:val="CommentTextChar"/>
    <w:uiPriority w:val="99"/>
    <w:semiHidden/>
    <w:unhideWhenUsed/>
    <w:rsid w:val="00B5510E"/>
    <w:pPr>
      <w:spacing w:line="240" w:lineRule="auto"/>
    </w:pPr>
    <w:rPr>
      <w:sz w:val="20"/>
      <w:szCs w:val="20"/>
    </w:rPr>
  </w:style>
  <w:style w:type="character" w:customStyle="1" w:styleId="CommentTextChar">
    <w:name w:val="Comment Text Char"/>
    <w:basedOn w:val="DefaultParagraphFont"/>
    <w:link w:val="CommentText"/>
    <w:uiPriority w:val="99"/>
    <w:semiHidden/>
    <w:rsid w:val="00B5510E"/>
  </w:style>
  <w:style w:type="paragraph" w:styleId="CommentSubject">
    <w:name w:val="annotation subject"/>
    <w:basedOn w:val="CommentText"/>
    <w:next w:val="CommentText"/>
    <w:link w:val="CommentSubjectChar"/>
    <w:uiPriority w:val="99"/>
    <w:semiHidden/>
    <w:unhideWhenUsed/>
    <w:rsid w:val="00B5510E"/>
    <w:rPr>
      <w:b/>
      <w:bCs/>
    </w:rPr>
  </w:style>
  <w:style w:type="character" w:customStyle="1" w:styleId="CommentSubjectChar">
    <w:name w:val="Comment Subject Char"/>
    <w:basedOn w:val="CommentTextChar"/>
    <w:link w:val="CommentSubject"/>
    <w:uiPriority w:val="99"/>
    <w:semiHidden/>
    <w:rsid w:val="00B551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62AD4-7321-412B-920C-3FC9BD7E5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4081</Words>
  <Characters>23262</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DKMiyao</cp:lastModifiedBy>
  <cp:revision>2</cp:revision>
  <cp:lastPrinted>2016-12-16T00:43:00Z</cp:lastPrinted>
  <dcterms:created xsi:type="dcterms:W3CDTF">2017-12-29T18:32:00Z</dcterms:created>
  <dcterms:modified xsi:type="dcterms:W3CDTF">2017-12-29T18:32:00Z</dcterms:modified>
</cp:coreProperties>
</file>